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37259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0232DFA6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2025年硕士学位研究生招生考试业务课考试大纲</w:t>
      </w:r>
    </w:p>
    <w:p w14:paraId="72463888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 xml:space="preserve">考试科目： 基础生物化学           代码： </w:t>
      </w:r>
      <w:r>
        <w:rPr>
          <w:b/>
          <w:bCs/>
          <w:sz w:val="28"/>
          <w:u w:val="single"/>
        </w:rPr>
        <w:t xml:space="preserve">715 </w:t>
      </w:r>
      <w:r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u w:val="single"/>
        </w:rPr>
        <w:t xml:space="preserve">      </w:t>
      </w:r>
    </w:p>
    <w:p w14:paraId="3B7E8D4A">
      <w:pPr>
        <w:pStyle w:val="11"/>
        <w:spacing w:after="6" w:line="276" w:lineRule="auto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考试基本要求</w:t>
      </w:r>
    </w:p>
    <w:p w14:paraId="75A12F94">
      <w:pPr>
        <w:spacing w:line="276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系统地考察考生对生物化学学科中的基本</w:t>
      </w:r>
      <w:r>
        <w:rPr>
          <w:sz w:val="24"/>
        </w:rPr>
        <w:t>概念</w:t>
      </w:r>
      <w:r>
        <w:rPr>
          <w:rFonts w:hint="eastAsia"/>
          <w:sz w:val="24"/>
        </w:rPr>
        <w:t>、</w:t>
      </w:r>
      <w:r>
        <w:rPr>
          <w:sz w:val="24"/>
        </w:rPr>
        <w:t>基本理论</w:t>
      </w:r>
      <w:r>
        <w:rPr>
          <w:rFonts w:hint="eastAsia"/>
          <w:sz w:val="24"/>
        </w:rPr>
        <w:t>和实验技术的掌握程度，以及对生物化学领域的当前研究热点和新进展的了解程度。</w:t>
      </w:r>
    </w:p>
    <w:p w14:paraId="13E82319">
      <w:pPr>
        <w:pStyle w:val="11"/>
        <w:spacing w:before="218" w:beforeLines="70" w:after="6" w:line="276" w:lineRule="auto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考试基本内容</w:t>
      </w:r>
    </w:p>
    <w:p w14:paraId="0110F1DA">
      <w:pPr>
        <w:spacing w:line="276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包括结构生物化学、代谢生物化学和分子生物学三个部分内容。</w:t>
      </w:r>
    </w:p>
    <w:p w14:paraId="42491105">
      <w:pPr>
        <w:pStyle w:val="11"/>
        <w:spacing w:before="218" w:beforeLines="70" w:after="6" w:line="276" w:lineRule="auto"/>
        <w:rPr>
          <w:rFonts w:hint="eastAsia" w:ascii="ˎ̥" w:hAnsi="ˎ̥"/>
          <w:b/>
          <w:sz w:val="24"/>
        </w:rPr>
      </w:pPr>
      <w:r>
        <w:rPr>
          <w:rFonts w:ascii="ˎ̥" w:hAnsi="ˎ̥"/>
          <w:b/>
          <w:sz w:val="24"/>
        </w:rPr>
        <w:t>考查目标</w:t>
      </w:r>
    </w:p>
    <w:p w14:paraId="51F52F3A">
      <w:pPr>
        <w:pStyle w:val="12"/>
        <w:numPr>
          <w:ilvl w:val="0"/>
          <w:numId w:val="1"/>
        </w:numPr>
        <w:spacing w:line="276" w:lineRule="auto"/>
        <w:ind w:firstLine="113"/>
        <w:rPr>
          <w:rFonts w:hint="eastAsia" w:ascii="ˎ̥" w:hAnsi="ˎ̥"/>
          <w:bCs/>
          <w:sz w:val="24"/>
        </w:rPr>
      </w:pPr>
      <w:r>
        <w:rPr>
          <w:rFonts w:hint="eastAsia" w:ascii="ˎ̥" w:hAnsi="ˎ̥"/>
          <w:bCs/>
          <w:sz w:val="24"/>
        </w:rPr>
        <w:t>熟练掌握生物化学的基本概念</w:t>
      </w:r>
      <w:r>
        <w:rPr>
          <w:rFonts w:ascii="ˎ̥" w:hAnsi="ˎ̥"/>
          <w:bCs/>
          <w:sz w:val="24"/>
        </w:rPr>
        <w:t>、基本原理和基本</w:t>
      </w:r>
      <w:r>
        <w:rPr>
          <w:rFonts w:hint="eastAsia" w:ascii="ˎ̥" w:hAnsi="ˎ̥"/>
          <w:bCs/>
          <w:sz w:val="24"/>
        </w:rPr>
        <w:t>理论；</w:t>
      </w:r>
    </w:p>
    <w:p w14:paraId="5BD58490">
      <w:pPr>
        <w:pStyle w:val="12"/>
        <w:numPr>
          <w:ilvl w:val="0"/>
          <w:numId w:val="1"/>
        </w:numPr>
        <w:spacing w:line="276" w:lineRule="auto"/>
        <w:ind w:firstLine="113"/>
        <w:rPr>
          <w:rFonts w:hint="eastAsia" w:ascii="ˎ̥" w:hAnsi="ˎ̥"/>
          <w:bCs/>
          <w:sz w:val="24"/>
        </w:rPr>
      </w:pPr>
      <w:r>
        <w:rPr>
          <w:rFonts w:hint="eastAsia"/>
          <w:sz w:val="24"/>
        </w:rPr>
        <w:t>掌握重要的生物化学研究方法和技术；</w:t>
      </w:r>
    </w:p>
    <w:p w14:paraId="62F5BBA9">
      <w:pPr>
        <w:pStyle w:val="12"/>
        <w:numPr>
          <w:ilvl w:val="0"/>
          <w:numId w:val="1"/>
        </w:numPr>
        <w:spacing w:line="276" w:lineRule="auto"/>
        <w:ind w:firstLine="113"/>
        <w:rPr>
          <w:rFonts w:hint="eastAsia" w:ascii="ˎ̥" w:hAnsi="ˎ̥"/>
          <w:bCs/>
          <w:sz w:val="24"/>
        </w:rPr>
      </w:pPr>
      <w:r>
        <w:rPr>
          <w:rFonts w:hint="eastAsia"/>
          <w:sz w:val="24"/>
        </w:rPr>
        <w:t>能综合运用所学的生物化学基础知识分析和解决问题；</w:t>
      </w:r>
    </w:p>
    <w:p w14:paraId="6A25540E">
      <w:pPr>
        <w:pStyle w:val="12"/>
        <w:numPr>
          <w:ilvl w:val="0"/>
          <w:numId w:val="1"/>
        </w:numPr>
        <w:spacing w:line="276" w:lineRule="auto"/>
        <w:ind w:firstLine="113"/>
        <w:rPr>
          <w:rFonts w:hint="eastAsia" w:ascii="ˎ̥" w:hAnsi="ˎ̥"/>
          <w:bCs/>
          <w:sz w:val="24"/>
        </w:rPr>
      </w:pPr>
      <w:r>
        <w:rPr>
          <w:rFonts w:hint="eastAsia"/>
          <w:sz w:val="24"/>
        </w:rPr>
        <w:t>了解当前生物化学的研究热点和新进展</w:t>
      </w:r>
      <w:r>
        <w:rPr>
          <w:rFonts w:hint="eastAsia" w:ascii="ˎ̥" w:hAnsi="ˎ̥"/>
          <w:bCs/>
          <w:sz w:val="24"/>
        </w:rPr>
        <w:t>。</w:t>
      </w:r>
    </w:p>
    <w:p w14:paraId="2A4D82B9">
      <w:pPr>
        <w:pStyle w:val="11"/>
        <w:spacing w:before="218" w:beforeLines="70" w:after="6" w:line="276" w:lineRule="auto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考试内容</w:t>
      </w:r>
    </w:p>
    <w:p w14:paraId="38139425">
      <w:pPr>
        <w:spacing w:line="276" w:lineRule="auto"/>
        <w:ind w:firstLine="482" w:firstLineChars="200"/>
        <w:rPr>
          <w:rFonts w:hint="eastAsia"/>
          <w:b/>
          <w:sz w:val="22"/>
        </w:rPr>
      </w:pPr>
      <w:r>
        <w:rPr>
          <w:rFonts w:hint="eastAsia"/>
          <w:b/>
          <w:sz w:val="24"/>
          <w:szCs w:val="28"/>
        </w:rPr>
        <w:t>1. 生物大分子的结构与功能（结构生物化学）</w:t>
      </w:r>
    </w:p>
    <w:p w14:paraId="73F65D8B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（1）蛋白质的结构与功能：</w:t>
      </w:r>
      <w:r>
        <w:rPr>
          <w:sz w:val="24"/>
        </w:rPr>
        <w:t>氨基酸</w:t>
      </w:r>
      <w:r>
        <w:rPr>
          <w:rFonts w:hint="eastAsia"/>
          <w:sz w:val="24"/>
        </w:rPr>
        <w:t>的结构、种类、</w:t>
      </w:r>
      <w:r>
        <w:rPr>
          <w:sz w:val="24"/>
        </w:rPr>
        <w:t>分类</w:t>
      </w:r>
      <w:r>
        <w:rPr>
          <w:rFonts w:hint="eastAsia"/>
          <w:sz w:val="24"/>
        </w:rPr>
        <w:t>、性质和功能，氨基酸的分离与纯化；</w:t>
      </w:r>
      <w:r>
        <w:rPr>
          <w:sz w:val="24"/>
        </w:rPr>
        <w:t>肽与肽键</w:t>
      </w:r>
      <w:r>
        <w:rPr>
          <w:rFonts w:hint="eastAsia"/>
          <w:sz w:val="24"/>
        </w:rPr>
        <w:t>，寡肽的理化性质，</w:t>
      </w:r>
      <w:r>
        <w:rPr>
          <w:sz w:val="24"/>
        </w:rPr>
        <w:t>天然</w:t>
      </w:r>
      <w:r>
        <w:rPr>
          <w:rFonts w:hint="eastAsia"/>
          <w:sz w:val="24"/>
        </w:rPr>
        <w:t>活性</w:t>
      </w:r>
      <w:r>
        <w:rPr>
          <w:sz w:val="24"/>
        </w:rPr>
        <w:t>肽</w:t>
      </w:r>
      <w:r>
        <w:rPr>
          <w:rFonts w:hint="eastAsia"/>
          <w:sz w:val="24"/>
        </w:rPr>
        <w:t>；蛋白质的结构，蛋白质结构与功能的关系；蛋白质的变性及复性；蛋白质的折叠及结构预测；蛋白质的分类、理化性质及研究技术和方法；蛋白质组学。</w:t>
      </w:r>
    </w:p>
    <w:p w14:paraId="15D04230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（2）核酸的结构与功能：核苷酸的结构和性质；核酸的化学组成、种类和功能；核酸的结构；核酸的理化性质及研究方法。</w:t>
      </w:r>
    </w:p>
    <w:p w14:paraId="0C00AD0C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（3）酶学：酶的化学本质和催化作用特点；酶的分类和命名；酶动力学及影响酶促反应的因素；酶的催化机理和酶活性调节；酶的活力测定分及离纯化；维生素及辅酶；核酶、抗体酶及固定化酶。</w:t>
      </w:r>
    </w:p>
    <w:p w14:paraId="4FA0BF23">
      <w:pPr>
        <w:spacing w:line="276" w:lineRule="auto"/>
        <w:ind w:firstLine="482" w:firstLineChars="200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2. 物质代谢及调控（代谢生物化学）</w:t>
      </w:r>
    </w:p>
    <w:p w14:paraId="20BF6B5E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（1）代谢总论、生物能学与生物氧化：代谢的基本概念及特征；高能键与高能生物分子；生物氧化特点，呼吸链，氧化磷酸化及其偶联机机制。</w:t>
      </w:r>
    </w:p>
    <w:p w14:paraId="30AC0615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（2）糖类代谢：葡萄糖的无氧酵解和有氧氧化的细胞定位、代谢途径、能量变化、生物学意义及其调控机理；</w:t>
      </w:r>
      <w:r>
        <w:rPr>
          <w:sz w:val="24"/>
        </w:rPr>
        <w:t>磷酸戊糖途径</w:t>
      </w:r>
      <w:r>
        <w:rPr>
          <w:rFonts w:hint="eastAsia"/>
          <w:sz w:val="24"/>
        </w:rPr>
        <w:t>的细胞定位、主要反应、代谢调控及其生物学意义；乙醛酸循环及其生物学意义；糖异生作用的细胞定位、主要反应及其生物学意义；糖原的分解与合成，糖原代谢的细胞定位及调控。</w:t>
      </w:r>
    </w:p>
    <w:p w14:paraId="47D0CB2D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（3）脂类代谢：甘油三酯的酶促水解及其调控；脂肪酸的氧化，酮体的生成与利用；磷酸甘油、脂肪酸、甘油三酯的合成及调控；常见磷脂的结构及代谢；胆固醇的代谢；脂类代谢有关疾病发生的原理。</w:t>
      </w:r>
    </w:p>
    <w:p w14:paraId="12EC9D2D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（4）蛋白质降解和氨基酸代谢：蛋白质水解和泛素化降解；氨基酸的脱氨基作用和氨的代谢转变；尿素的合成和尿素循环；氨基酸碳骨架的代谢；蛋白质与氨基酸代谢有关疾病发生的原理。</w:t>
      </w:r>
    </w:p>
    <w:p w14:paraId="59998C0E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（5）核苷酸的代谢：核苷酸的生物合成及其调控，核苷酸的分解代谢，核苷酸代谢有关疾病发生的原理。</w:t>
      </w:r>
    </w:p>
    <w:p w14:paraId="66E83EC4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（6）物质代谢相互联系和调控：糖、脂、蛋白质和核酸代谢的相互联系及调控。</w:t>
      </w:r>
    </w:p>
    <w:p w14:paraId="78CFB419">
      <w:pPr>
        <w:spacing w:line="276" w:lineRule="auto"/>
        <w:ind w:firstLine="482" w:firstLineChars="200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3. 遗传信息的传递及表达调控（分子生物学）</w:t>
      </w:r>
    </w:p>
    <w:p w14:paraId="189A81FB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（1）DNA</w:t>
      </w:r>
      <w:r>
        <w:rPr>
          <w:sz w:val="24"/>
        </w:rPr>
        <w:t>的复制与修复</w:t>
      </w:r>
      <w:r>
        <w:rPr>
          <w:rFonts w:hint="eastAsia"/>
          <w:sz w:val="24"/>
        </w:rPr>
        <w:t>：DNA的复制体系，DNA的半保留复制和半不连续复制；原核生物DNA的复制过程和真核生物DNA复制的特点，DNA复制的忠实性和复制的调节； DNA损伤的概念和修复的方式。</w:t>
      </w:r>
    </w:p>
    <w:p w14:paraId="7AEC6E5D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（2）RNA的生物合成与加工：原核和真核生物RNA聚合酶的特点、RNA生物合成过程及其调控；原核和真核生物RNA转录后加工，RNA的编辑，基因组R</w:t>
      </w:r>
      <w:r>
        <w:rPr>
          <w:sz w:val="24"/>
        </w:rPr>
        <w:t>NA</w:t>
      </w:r>
      <w:r>
        <w:rPr>
          <w:rFonts w:hint="eastAsia"/>
          <w:sz w:val="24"/>
        </w:rPr>
        <w:t>的复制。</w:t>
      </w:r>
    </w:p>
    <w:p w14:paraId="49589B77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（3）蛋白质的生物合成与加工：蛋白质的生物合成体系，核糖体结构与功能；遗传密码及其特性；原核生物蛋白质的合成过程和真核生物蛋白质合成的特点，</w:t>
      </w:r>
      <w:r>
        <w:rPr>
          <w:sz w:val="24"/>
        </w:rPr>
        <w:t>tRNA</w:t>
      </w:r>
      <w:r>
        <w:rPr>
          <w:rFonts w:hAnsi="宋体"/>
          <w:sz w:val="24"/>
        </w:rPr>
        <w:t>的作用与氨酰</w:t>
      </w:r>
      <w:r>
        <w:rPr>
          <w:sz w:val="24"/>
        </w:rPr>
        <w:t>-tRNA</w:t>
      </w:r>
      <w:r>
        <w:rPr>
          <w:rFonts w:hAnsi="宋体"/>
          <w:sz w:val="24"/>
        </w:rPr>
        <w:t>合成酶</w:t>
      </w:r>
      <w:r>
        <w:rPr>
          <w:rFonts w:hint="eastAsia" w:hAnsi="宋体"/>
          <w:sz w:val="24"/>
        </w:rPr>
        <w:t>，</w:t>
      </w:r>
      <w:r>
        <w:rPr>
          <w:rFonts w:hint="eastAsia"/>
          <w:sz w:val="24"/>
        </w:rPr>
        <w:t>蛋白质合成的质量控制；多肽链合成后的加工、</w:t>
      </w:r>
      <w:r>
        <w:rPr>
          <w:rFonts w:hint="eastAsia" w:hAnsi="宋体"/>
          <w:sz w:val="24"/>
        </w:rPr>
        <w:t>修饰；</w:t>
      </w:r>
      <w:r>
        <w:rPr>
          <w:rFonts w:hAnsi="宋体"/>
          <w:sz w:val="24"/>
        </w:rPr>
        <w:t>信号肽</w:t>
      </w:r>
      <w:r>
        <w:rPr>
          <w:rFonts w:hint="eastAsia" w:hAnsi="宋体"/>
          <w:sz w:val="24"/>
        </w:rPr>
        <w:t>与蛋白质的定向转运；蛋白质的胞内降解。</w:t>
      </w:r>
    </w:p>
    <w:p w14:paraId="604454F6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（4）基因表达的调控：原核生物基因表达的操纵子学说，乳糖操纵子的结构及调控机理，反义RNA、RNA干扰和非编码RNA的概念及其作用；真核生物基因表达的转录和翻译水平调控。</w:t>
      </w:r>
    </w:p>
    <w:p w14:paraId="0AD37CDF">
      <w:pPr>
        <w:spacing w:line="276" w:lineRule="auto"/>
        <w:ind w:firstLine="424" w:firstLineChars="177"/>
        <w:rPr>
          <w:rFonts w:hint="eastAsia"/>
          <w:sz w:val="24"/>
        </w:rPr>
      </w:pPr>
      <w:r>
        <w:rPr>
          <w:rFonts w:hint="eastAsia"/>
          <w:sz w:val="24"/>
        </w:rPr>
        <w:t>（5）分子生物学技术：分子克隆技术，研究蛋白质之间、核酸与蛋白质之间相互作用的主要方法和技术；基因组学，基因编辑技术；蛋白质工程。</w:t>
      </w:r>
    </w:p>
    <w:p w14:paraId="30C50692">
      <w:pPr>
        <w:spacing w:line="276" w:lineRule="auto"/>
        <w:ind w:left="4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4. 生物化学领域的重大事件和当前研究热点及新进展</w:t>
      </w:r>
    </w:p>
    <w:p w14:paraId="733F7C12">
      <w:pPr>
        <w:pStyle w:val="11"/>
        <w:spacing w:before="218" w:beforeLines="70" w:after="6" w:line="276" w:lineRule="auto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参考教材</w:t>
      </w:r>
    </w:p>
    <w:p w14:paraId="00EE2A45">
      <w:pPr>
        <w:spacing w:line="276" w:lineRule="auto"/>
        <w:ind w:left="-141" w:leftChars="-67" w:firstLine="48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《生物化学原理》（第</w:t>
      </w:r>
      <w:r>
        <w:rPr>
          <w:sz w:val="24"/>
        </w:rPr>
        <w:t>3</w:t>
      </w:r>
      <w:r>
        <w:rPr>
          <w:rFonts w:hint="eastAsia"/>
          <w:sz w:val="24"/>
        </w:rPr>
        <w:t>版），杨荣武主编，高等教育出版社，201</w:t>
      </w:r>
      <w:r>
        <w:rPr>
          <w:sz w:val="24"/>
        </w:rPr>
        <w:t>8</w:t>
      </w:r>
      <w:r>
        <w:rPr>
          <w:rFonts w:hint="eastAsia"/>
          <w:sz w:val="24"/>
        </w:rPr>
        <w:t>年</w:t>
      </w:r>
    </w:p>
    <w:p w14:paraId="6CCF3C51">
      <w:pPr>
        <w:pStyle w:val="11"/>
        <w:spacing w:before="218" w:beforeLines="70" w:after="6" w:line="276" w:lineRule="auto"/>
        <w:rPr>
          <w:rFonts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考试形式和试卷结构</w:t>
      </w:r>
    </w:p>
    <w:p w14:paraId="37C549F3">
      <w:pPr>
        <w:spacing w:line="276" w:lineRule="auto"/>
        <w:ind w:firstLine="480"/>
        <w:rPr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>考试形式</w:t>
      </w:r>
      <w:r>
        <w:rPr>
          <w:rFonts w:hint="eastAsia"/>
          <w:sz w:val="24"/>
        </w:rPr>
        <w:t>：闭卷，笔试，试卷满分1</w:t>
      </w:r>
      <w:r>
        <w:rPr>
          <w:sz w:val="24"/>
        </w:rPr>
        <w:t>50</w:t>
      </w:r>
      <w:r>
        <w:rPr>
          <w:rFonts w:hint="eastAsia"/>
          <w:sz w:val="24"/>
        </w:rPr>
        <w:t>分，考试时间1</w:t>
      </w:r>
      <w:r>
        <w:rPr>
          <w:sz w:val="24"/>
        </w:rPr>
        <w:t>80</w:t>
      </w:r>
      <w:r>
        <w:rPr>
          <w:rFonts w:hint="eastAsia"/>
          <w:sz w:val="24"/>
        </w:rPr>
        <w:t>分钟。</w:t>
      </w:r>
    </w:p>
    <w:p w14:paraId="596ACF89">
      <w:pPr>
        <w:spacing w:line="276" w:lineRule="auto"/>
        <w:ind w:firstLine="480"/>
        <w:rPr>
          <w:rFonts w:ascii="ˎ̥" w:hAnsi="ˎ̥"/>
          <w:sz w:val="24"/>
        </w:rPr>
      </w:pPr>
      <w:r>
        <w:rPr>
          <w:rFonts w:hint="eastAsia" w:ascii="ˎ̥" w:hAnsi="ˎ̥"/>
          <w:b/>
          <w:sz w:val="24"/>
        </w:rPr>
        <w:t>2</w:t>
      </w:r>
      <w:r>
        <w:rPr>
          <w:rFonts w:ascii="ˎ̥" w:hAnsi="ˎ̥"/>
          <w:b/>
          <w:sz w:val="24"/>
        </w:rPr>
        <w:t xml:space="preserve">. </w:t>
      </w:r>
      <w:r>
        <w:rPr>
          <w:rFonts w:hint="eastAsia" w:ascii="ˎ̥" w:hAnsi="ˎ̥"/>
          <w:b/>
          <w:sz w:val="24"/>
        </w:rPr>
        <w:t>题型及分布</w:t>
      </w:r>
      <w:r>
        <w:rPr>
          <w:rFonts w:hint="eastAsia" w:ascii="ˎ̥" w:hAnsi="ˎ̥"/>
          <w:sz w:val="24"/>
        </w:rPr>
        <w:t>：</w:t>
      </w:r>
    </w:p>
    <w:p w14:paraId="24C95A88">
      <w:pPr>
        <w:spacing w:line="276" w:lineRule="auto"/>
        <w:ind w:firstLine="480"/>
        <w:rPr>
          <w:sz w:val="24"/>
        </w:rPr>
      </w:pPr>
      <w:r>
        <w:rPr>
          <w:rFonts w:hint="eastAsia"/>
          <w:sz w:val="24"/>
        </w:rPr>
        <w:t>选择题约</w:t>
      </w:r>
      <w:r>
        <w:rPr>
          <w:sz w:val="24"/>
        </w:rPr>
        <w:t>30</w:t>
      </w:r>
      <w:r>
        <w:rPr>
          <w:rFonts w:hint="eastAsia"/>
          <w:sz w:val="24"/>
        </w:rPr>
        <w:t>%，判断题约1</w:t>
      </w:r>
      <w:r>
        <w:rPr>
          <w:sz w:val="24"/>
        </w:rPr>
        <w:t>0%</w:t>
      </w:r>
      <w:r>
        <w:rPr>
          <w:rFonts w:hint="eastAsia"/>
          <w:sz w:val="24"/>
        </w:rPr>
        <w:t>，名词解释约20%，简答题约</w:t>
      </w:r>
      <w:r>
        <w:rPr>
          <w:sz w:val="24"/>
        </w:rPr>
        <w:t>20</w:t>
      </w:r>
      <w:r>
        <w:rPr>
          <w:rFonts w:hint="eastAsia"/>
          <w:sz w:val="24"/>
        </w:rPr>
        <w:t>%，问答题约</w:t>
      </w:r>
      <w:r>
        <w:rPr>
          <w:sz w:val="24"/>
        </w:rPr>
        <w:t>20</w:t>
      </w:r>
      <w:r>
        <w:rPr>
          <w:rFonts w:hint="eastAsia"/>
          <w:sz w:val="24"/>
        </w:rPr>
        <w:t>%。</w:t>
      </w:r>
    </w:p>
    <w:p w14:paraId="2C9F95DC">
      <w:pPr>
        <w:spacing w:line="500" w:lineRule="exact"/>
        <w:rPr>
          <w:rFonts w:hint="eastAsia" w:ascii="宋体" w:hAnsi="宋体"/>
          <w:bCs/>
          <w:szCs w:val="21"/>
        </w:rPr>
      </w:pPr>
    </w:p>
    <w:p w14:paraId="23A02E33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Cs/>
          <w:szCs w:val="21"/>
        </w:rPr>
        <w:br w:type="textWrapping" w:clear="all"/>
      </w:r>
    </w:p>
    <w:p w14:paraId="71C1DB53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E29DB">
    <w:pPr>
      <w:pStyle w:val="4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1477E47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B285F"/>
    <w:multiLevelType w:val="multilevel"/>
    <w:tmpl w:val="6D4B285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353B2"/>
    <w:rsid w:val="00050561"/>
    <w:rsid w:val="00054E39"/>
    <w:rsid w:val="000A0638"/>
    <w:rsid w:val="000B0BB4"/>
    <w:rsid w:val="000B6BDF"/>
    <w:rsid w:val="000D154C"/>
    <w:rsid w:val="0010323F"/>
    <w:rsid w:val="001427CA"/>
    <w:rsid w:val="0015258C"/>
    <w:rsid w:val="00170B3D"/>
    <w:rsid w:val="001A7B80"/>
    <w:rsid w:val="001B7291"/>
    <w:rsid w:val="001E2D32"/>
    <w:rsid w:val="001F2D00"/>
    <w:rsid w:val="002017A7"/>
    <w:rsid w:val="002045ED"/>
    <w:rsid w:val="0020511B"/>
    <w:rsid w:val="002076FD"/>
    <w:rsid w:val="0021184D"/>
    <w:rsid w:val="002377B7"/>
    <w:rsid w:val="00260395"/>
    <w:rsid w:val="00274C15"/>
    <w:rsid w:val="00294656"/>
    <w:rsid w:val="002A1C86"/>
    <w:rsid w:val="002A32C1"/>
    <w:rsid w:val="002D01AE"/>
    <w:rsid w:val="00311CF9"/>
    <w:rsid w:val="00342A3E"/>
    <w:rsid w:val="00367171"/>
    <w:rsid w:val="00394CAF"/>
    <w:rsid w:val="00395FAA"/>
    <w:rsid w:val="00406603"/>
    <w:rsid w:val="004204A7"/>
    <w:rsid w:val="00443606"/>
    <w:rsid w:val="0045288F"/>
    <w:rsid w:val="00460BF0"/>
    <w:rsid w:val="00474FD9"/>
    <w:rsid w:val="00493CD9"/>
    <w:rsid w:val="00495AF9"/>
    <w:rsid w:val="00496467"/>
    <w:rsid w:val="004A32CB"/>
    <w:rsid w:val="004B1698"/>
    <w:rsid w:val="004E0A44"/>
    <w:rsid w:val="004F0E87"/>
    <w:rsid w:val="00510A50"/>
    <w:rsid w:val="00515946"/>
    <w:rsid w:val="00515F99"/>
    <w:rsid w:val="00521345"/>
    <w:rsid w:val="00524C56"/>
    <w:rsid w:val="00583369"/>
    <w:rsid w:val="005879A8"/>
    <w:rsid w:val="00597C93"/>
    <w:rsid w:val="00597F47"/>
    <w:rsid w:val="005B783C"/>
    <w:rsid w:val="005E6015"/>
    <w:rsid w:val="006136E5"/>
    <w:rsid w:val="00626A1D"/>
    <w:rsid w:val="0065392C"/>
    <w:rsid w:val="0069094C"/>
    <w:rsid w:val="006A4AB5"/>
    <w:rsid w:val="006B6C63"/>
    <w:rsid w:val="006C4DFE"/>
    <w:rsid w:val="006D1572"/>
    <w:rsid w:val="006E5E8D"/>
    <w:rsid w:val="006F50BA"/>
    <w:rsid w:val="00755CA6"/>
    <w:rsid w:val="007712D9"/>
    <w:rsid w:val="0077387C"/>
    <w:rsid w:val="00784B23"/>
    <w:rsid w:val="00787856"/>
    <w:rsid w:val="007B5A63"/>
    <w:rsid w:val="0081524A"/>
    <w:rsid w:val="00834D52"/>
    <w:rsid w:val="00861237"/>
    <w:rsid w:val="008A4D3C"/>
    <w:rsid w:val="008B21E6"/>
    <w:rsid w:val="008B4A54"/>
    <w:rsid w:val="008F20A7"/>
    <w:rsid w:val="00925A95"/>
    <w:rsid w:val="00972129"/>
    <w:rsid w:val="009B1120"/>
    <w:rsid w:val="009C27DD"/>
    <w:rsid w:val="009C4E0F"/>
    <w:rsid w:val="009E2FCC"/>
    <w:rsid w:val="00A24204"/>
    <w:rsid w:val="00A6139C"/>
    <w:rsid w:val="00A74DF3"/>
    <w:rsid w:val="00A77C7E"/>
    <w:rsid w:val="00A85CD9"/>
    <w:rsid w:val="00AA05DF"/>
    <w:rsid w:val="00AB70CC"/>
    <w:rsid w:val="00B978AB"/>
    <w:rsid w:val="00BC7A6D"/>
    <w:rsid w:val="00BF543D"/>
    <w:rsid w:val="00C9334C"/>
    <w:rsid w:val="00CB16A2"/>
    <w:rsid w:val="00CF1274"/>
    <w:rsid w:val="00D136F1"/>
    <w:rsid w:val="00D14E9C"/>
    <w:rsid w:val="00D56537"/>
    <w:rsid w:val="00D62A3D"/>
    <w:rsid w:val="00D66C04"/>
    <w:rsid w:val="00D7547A"/>
    <w:rsid w:val="00DD2C38"/>
    <w:rsid w:val="00DF498D"/>
    <w:rsid w:val="00E212D9"/>
    <w:rsid w:val="00E23920"/>
    <w:rsid w:val="00E80B58"/>
    <w:rsid w:val="00E9148D"/>
    <w:rsid w:val="00EF36A3"/>
    <w:rsid w:val="00F30DC6"/>
    <w:rsid w:val="00F36D8E"/>
    <w:rsid w:val="00F76141"/>
    <w:rsid w:val="00FA2558"/>
    <w:rsid w:val="00FC3C04"/>
    <w:rsid w:val="00FE2670"/>
    <w:rsid w:val="00FE4CE1"/>
    <w:rsid w:val="00FF2235"/>
    <w:rsid w:val="49DA2516"/>
    <w:rsid w:val="58D9543E"/>
    <w:rsid w:val="60A54C9F"/>
    <w:rsid w:val="64AE1C4D"/>
    <w:rsid w:val="660F1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alloon Text Char"/>
    <w:link w:val="3"/>
    <w:uiPriority w:val="0"/>
    <w:rPr>
      <w:kern w:val="2"/>
      <w:sz w:val="18"/>
      <w:szCs w:val="18"/>
    </w:rPr>
  </w:style>
  <w:style w:type="character" w:customStyle="1" w:styleId="9">
    <w:name w:val="Footer Char"/>
    <w:link w:val="4"/>
    <w:uiPriority w:val="99"/>
    <w:rPr>
      <w:kern w:val="2"/>
      <w:sz w:val="18"/>
      <w:szCs w:val="18"/>
    </w:rPr>
  </w:style>
  <w:style w:type="character" w:customStyle="1" w:styleId="10">
    <w:name w:val="Header Char"/>
    <w:link w:val="5"/>
    <w:uiPriority w:val="0"/>
    <w:rPr>
      <w:kern w:val="2"/>
      <w:sz w:val="18"/>
      <w:szCs w:val="18"/>
    </w:rPr>
  </w:style>
  <w:style w:type="paragraph" w:customStyle="1" w:styleId="11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2">
    <w:name w:val="正文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13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1592</Words>
  <Characters>1659</Characters>
  <Lines>12</Lines>
  <Paragraphs>3</Paragraphs>
  <TotalTime>0</TotalTime>
  <ScaleCrop>false</ScaleCrop>
  <LinksUpToDate>false</LinksUpToDate>
  <CharactersWithSpaces>1730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2024-05-30T03:27:00Z</dcterms:created>
  <dc:creator>孙涵卿</dc:creator>
  <cp:lastModifiedBy>vertesyuan</cp:lastModifiedBy>
  <cp:lastPrinted>2011-09-06T07:16:00Z</cp:lastPrinted>
  <dcterms:modified xsi:type="dcterms:W3CDTF">2024-10-11T01:52:24Z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FB87A1D72C344ADD9D9FD87E85334978_13</vt:lpwstr>
  </property>
</Properties>
</file>