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4912F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2744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18CE2453"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</w:t>
            </w:r>
          </w:p>
        </w:tc>
        <w:tc>
          <w:tcPr>
            <w:tcW w:w="5040" w:type="dxa"/>
            <w:noWrap w:val="0"/>
            <w:vAlign w:val="center"/>
          </w:tcPr>
          <w:p w14:paraId="550357CC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考试科目名称：材料科学基础</w:t>
            </w:r>
          </w:p>
        </w:tc>
      </w:tr>
      <w:tr w14:paraId="5CD9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5561815B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3F39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667A1C3D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材料科学基础</w:t>
            </w:r>
            <w:r>
              <w:rPr>
                <w:rFonts w:ascii="宋体" w:hAnsi="宋体"/>
                <w:szCs w:val="21"/>
              </w:rPr>
              <w:t>研究生入学考试是为所招收与</w:t>
            </w:r>
            <w:r>
              <w:rPr>
                <w:rFonts w:hint="eastAsia" w:ascii="宋体" w:hAnsi="宋体"/>
                <w:szCs w:val="21"/>
              </w:rPr>
              <w:t>材料与化工</w:t>
            </w:r>
            <w:r>
              <w:rPr>
                <w:rFonts w:ascii="宋体" w:hAnsi="宋体"/>
                <w:szCs w:val="21"/>
              </w:rPr>
              <w:t>有关专业硕士研究生而实施的具有选拔功能的水平考试。</w:t>
            </w:r>
            <w:r>
              <w:rPr>
                <w:rFonts w:hint="eastAsia" w:ascii="宋体" w:hAnsi="宋体"/>
                <w:szCs w:val="21"/>
              </w:rPr>
              <w:t>本课程主要目的是考察学生是否了解材料科学中的共性规律；是否能比较系统地理解</w:t>
            </w:r>
            <w:r>
              <w:rPr>
                <w:rFonts w:ascii="宋体" w:hAnsi="宋体"/>
                <w:szCs w:val="21"/>
              </w:rPr>
              <w:t>材料科学的基本概念和基本理论</w:t>
            </w:r>
            <w:r>
              <w:rPr>
                <w:rFonts w:hint="eastAsia" w:ascii="宋体" w:hAnsi="宋体"/>
                <w:szCs w:val="21"/>
              </w:rPr>
              <w:t>；是否能</w:t>
            </w:r>
            <w:r>
              <w:rPr>
                <w:rFonts w:ascii="宋体" w:hAnsi="宋体"/>
                <w:szCs w:val="21"/>
              </w:rPr>
              <w:t>掌握材料的组成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性能和加工的规律及相互联系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能运用所学的理论知识分析问题并解决问题，是否具有对一般材料问题进行理论分析和计算的能力。</w:t>
            </w:r>
          </w:p>
        </w:tc>
      </w:tr>
      <w:tr w14:paraId="76ED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5849F664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2228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281368BA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Cs w:val="21"/>
              </w:rPr>
              <w:t>原子结构与键合</w:t>
            </w:r>
          </w:p>
          <w:p w14:paraId="7F007576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物质的组成，原子的电子结构</w:t>
            </w:r>
          </w:p>
          <w:p w14:paraId="7739C590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元素周期表，金属键，离子键，共价键</w:t>
            </w:r>
          </w:p>
          <w:p w14:paraId="0ED7A2B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固体结构</w:t>
            </w:r>
          </w:p>
          <w:p w14:paraId="74297443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空间点阵，晶向指数，晶面指数</w:t>
            </w:r>
          </w:p>
          <w:p w14:paraId="2B2DEF77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三种典型的金属晶体结构，固溶体，中间相，合金相结构</w:t>
            </w:r>
          </w:p>
          <w:p w14:paraId="5EBC6F21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离子晶体结构</w:t>
            </w:r>
          </w:p>
          <w:p w14:paraId="7386A240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共价晶体结构</w:t>
            </w:r>
          </w:p>
          <w:p w14:paraId="4699F77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napToGrid w:val="0"/>
                <w:sz w:val="21"/>
                <w:szCs w:val="21"/>
              </w:rPr>
              <w:t>晶体缺陷</w:t>
            </w:r>
          </w:p>
          <w:p w14:paraId="1BEFDE71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点缺陷的形成，点缺陷的平衡浓度</w:t>
            </w:r>
          </w:p>
          <w:p w14:paraId="1C6DC644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位错的基本类型和特征</w:t>
            </w:r>
          </w:p>
          <w:p w14:paraId="6E11F787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柏氏矢量</w:t>
            </w:r>
          </w:p>
          <w:p w14:paraId="2F3FD059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位错的运动</w:t>
            </w:r>
          </w:p>
          <w:p w14:paraId="4601998A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实际晶体中的位错</w:t>
            </w:r>
          </w:p>
          <w:p w14:paraId="7360F1FC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外表面，晶界，相界</w:t>
            </w:r>
          </w:p>
          <w:p w14:paraId="674D6BCB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固体中原子及分子的运动</w:t>
            </w:r>
          </w:p>
          <w:p w14:paraId="1A539313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菲克第一定律，菲克第二定律</w:t>
            </w:r>
          </w:p>
          <w:p w14:paraId="7C30E7EC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扩散机制，扩散激活能</w:t>
            </w:r>
          </w:p>
          <w:p w14:paraId="63301FA7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影响扩散的因素</w:t>
            </w:r>
          </w:p>
          <w:p w14:paraId="04C3E9FC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离子晶体的扩散</w:t>
            </w:r>
          </w:p>
          <w:p w14:paraId="38CA5AA5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分子链运动的起因及其柔顺性</w:t>
            </w:r>
          </w:p>
          <w:p w14:paraId="54DBBC5D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材料的形变和再结晶</w:t>
            </w:r>
          </w:p>
          <w:p w14:paraId="6BF6B29C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弹性的不完整性</w:t>
            </w:r>
          </w:p>
          <w:p w14:paraId="5C0FC10C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粘弹性</w:t>
            </w:r>
          </w:p>
          <w:p w14:paraId="65EC8EF0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单晶体的塑性变形</w:t>
            </w:r>
            <w:r>
              <w:rPr>
                <w:rFonts w:hint="eastAsia" w:hAnsi="宋体"/>
                <w:sz w:val="21"/>
                <w:szCs w:val="21"/>
              </w:rPr>
              <w:t>，</w:t>
            </w:r>
            <w:r>
              <w:rPr>
                <w:rFonts w:hAnsi="宋体"/>
                <w:sz w:val="21"/>
                <w:szCs w:val="21"/>
              </w:rPr>
              <w:t>多晶体的塑性变形</w:t>
            </w:r>
            <w:r>
              <w:rPr>
                <w:rFonts w:hint="eastAsia" w:hAnsi="宋体"/>
                <w:sz w:val="21"/>
                <w:szCs w:val="21"/>
              </w:rPr>
              <w:t>，</w:t>
            </w:r>
            <w:r>
              <w:rPr>
                <w:rFonts w:hAnsi="宋体"/>
                <w:sz w:val="21"/>
                <w:szCs w:val="21"/>
              </w:rPr>
              <w:t>合金的塑性变形</w:t>
            </w:r>
          </w:p>
          <w:p w14:paraId="52E14DAC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回复和再结晶</w:t>
            </w:r>
          </w:p>
          <w:p w14:paraId="7A7B2B5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napToGrid w:val="0"/>
                <w:sz w:val="21"/>
                <w:szCs w:val="21"/>
              </w:rPr>
              <w:t>单组元相图及纯晶体的凝固</w:t>
            </w:r>
          </w:p>
          <w:p w14:paraId="55DC5F60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相平衡条件</w:t>
            </w:r>
          </w:p>
          <w:p w14:paraId="34256A57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单元系相图</w:t>
            </w:r>
            <w:r>
              <w:rPr>
                <w:rFonts w:hint="eastAsia" w:hAnsi="宋体"/>
                <w:sz w:val="21"/>
                <w:szCs w:val="21"/>
              </w:rPr>
              <w:t>，</w:t>
            </w:r>
            <w:r>
              <w:rPr>
                <w:rFonts w:hint="eastAsia" w:hAnsi="宋体" w:cs="宋体"/>
                <w:sz w:val="21"/>
                <w:szCs w:val="21"/>
              </w:rPr>
              <w:t>自由度，相律</w:t>
            </w:r>
          </w:p>
          <w:p w14:paraId="7069C5CD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相图及其表示和测定方法</w:t>
            </w:r>
          </w:p>
          <w:p w14:paraId="5E85D73E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材料中的基本相及其特征</w:t>
            </w:r>
          </w:p>
          <w:p w14:paraId="2235C4A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宋体" w:hAns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Cs w:val="21"/>
              </w:rPr>
              <w:t>二元系相图和合金的凝固与制备原理</w:t>
            </w:r>
          </w:p>
          <w:p w14:paraId="45B727AA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相图的表示和测定方法</w:t>
            </w:r>
          </w:p>
          <w:p w14:paraId="75E560C3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二元合金相图的基本类型及相图分析</w:t>
            </w:r>
          </w:p>
          <w:p w14:paraId="04F5E24E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高分子合金的凝固与结晶</w:t>
            </w:r>
          </w:p>
        </w:tc>
      </w:tr>
      <w:tr w14:paraId="7122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09581FAA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24E9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465C3058">
            <w:pPr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、选择题（共1</w:t>
            </w: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小题，每小题4分，共4</w:t>
            </w: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分）；</w:t>
            </w:r>
          </w:p>
          <w:p w14:paraId="08A9CDD5">
            <w:pPr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、判断题（共2</w:t>
            </w: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小题，每小题2分，共4</w:t>
            </w: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分）；</w:t>
            </w:r>
          </w:p>
          <w:p w14:paraId="6A46E102">
            <w:pPr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、计算题（共2小题，每小题10分，共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分）；</w:t>
            </w:r>
          </w:p>
          <w:p w14:paraId="7A59C213">
            <w:pPr>
              <w:snapToGrid w:val="0"/>
              <w:spacing w:line="360" w:lineRule="auto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、论述题（共5小题，每小题10分，共5</w:t>
            </w: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分）。</w:t>
            </w:r>
          </w:p>
        </w:tc>
      </w:tr>
      <w:tr w14:paraId="3506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223859D2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0D1A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620A449D">
            <w:pPr>
              <w:tabs>
                <w:tab w:val="center" w:pos="3798"/>
              </w:tabs>
              <w:spacing w:before="31" w:beforeLines="10" w:after="31" w:afterLines="10" w:line="360" w:lineRule="auto"/>
              <w:ind w:left="315" w:hanging="315" w:hangingChars="150"/>
              <w:rPr>
                <w:rFonts w:ascii="宋体" w:hAnsi="宋体"/>
                <w:bCs/>
                <w:szCs w:val="21"/>
                <w:lang w:val="en-GB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bCs/>
                <w:szCs w:val="21"/>
                <w:lang w:val="en-GB"/>
              </w:rPr>
              <w:t>《材料科学基础》，胡赓祥</w:t>
            </w:r>
            <w:r>
              <w:rPr>
                <w:rFonts w:hint="eastAsia" w:ascii="宋体" w:hAnsi="宋体"/>
                <w:bCs/>
                <w:szCs w:val="21"/>
                <w:lang w:val="en-GB"/>
              </w:rPr>
              <w:t>、</w:t>
            </w:r>
            <w:r>
              <w:rPr>
                <w:rFonts w:ascii="宋体" w:hAnsi="宋体"/>
                <w:bCs/>
                <w:szCs w:val="21"/>
                <w:lang w:val="en-GB"/>
              </w:rPr>
              <w:t>蔡珣</w:t>
            </w:r>
            <w:r>
              <w:rPr>
                <w:rFonts w:hint="eastAsia" w:ascii="宋体" w:hAnsi="宋体"/>
                <w:bCs/>
                <w:szCs w:val="21"/>
                <w:lang w:val="en-GB"/>
              </w:rPr>
              <w:t>、</w:t>
            </w:r>
            <w:r>
              <w:rPr>
                <w:rFonts w:ascii="宋体" w:hAnsi="宋体"/>
                <w:bCs/>
                <w:szCs w:val="21"/>
                <w:lang w:val="en-GB"/>
              </w:rPr>
              <w:t>戎咏华编著，上海交通大学出版社，2010年，（第3版）。</w:t>
            </w:r>
          </w:p>
          <w:p w14:paraId="2074F257">
            <w:pPr>
              <w:tabs>
                <w:tab w:val="center" w:pos="3798"/>
              </w:tabs>
              <w:spacing w:before="31" w:beforeLines="10" w:after="31" w:afterLines="10" w:line="360" w:lineRule="auto"/>
              <w:ind w:left="315" w:hanging="315" w:hangingChars="150"/>
              <w:rPr>
                <w:rFonts w:hint="eastAsia"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2.《材料科学基础辅导与习题》，</w:t>
            </w:r>
            <w:r>
              <w:rPr>
                <w:rFonts w:ascii="宋体" w:hAnsi="宋体"/>
                <w:bCs/>
                <w:szCs w:val="21"/>
                <w:lang w:val="en-GB"/>
              </w:rPr>
              <w:t>蔡珣</w:t>
            </w:r>
            <w:r>
              <w:rPr>
                <w:rFonts w:hint="eastAsia" w:ascii="宋体" w:hAnsi="宋体"/>
                <w:bCs/>
                <w:szCs w:val="21"/>
                <w:lang w:val="en-GB"/>
              </w:rPr>
              <w:t>、</w:t>
            </w:r>
            <w:r>
              <w:rPr>
                <w:rFonts w:ascii="宋体" w:hAnsi="宋体"/>
                <w:bCs/>
                <w:szCs w:val="21"/>
                <w:lang w:val="en-GB"/>
              </w:rPr>
              <w:t>戎咏华</w:t>
            </w:r>
            <w:r>
              <w:rPr>
                <w:rFonts w:hint="eastAsia" w:ascii="宋体" w:hAnsi="宋体"/>
                <w:bCs/>
                <w:szCs w:val="21"/>
                <w:lang w:val="en-GB"/>
              </w:rPr>
              <w:t>编著，</w:t>
            </w:r>
            <w:r>
              <w:rPr>
                <w:rFonts w:hint="eastAsia" w:ascii="宋体" w:hAnsi="宋体"/>
                <w:szCs w:val="21"/>
                <w:lang w:val="en-GB"/>
              </w:rPr>
              <w:t>上海交通大学出版社，2008年，（第3版）</w:t>
            </w:r>
          </w:p>
        </w:tc>
      </w:tr>
    </w:tbl>
    <w:p w14:paraId="50E35918">
      <w:pPr>
        <w:spacing w:line="360" w:lineRule="auto"/>
        <w:rPr>
          <w:rFonts w:hint="eastAsia" w:ascii="宋体" w:hAnsi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5A6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25B726AC"/>
    <w:multiLevelType w:val="singleLevel"/>
    <w:tmpl w:val="25B726AC"/>
    <w:lvl w:ilvl="0" w:tentative="0">
      <w:start w:val="1"/>
      <w:numFmt w:val="japaneseCounting"/>
      <w:lvlText w:val="第%1章"/>
      <w:lvlJc w:val="left"/>
      <w:pPr>
        <w:tabs>
          <w:tab w:val="left" w:pos="855"/>
        </w:tabs>
        <w:ind w:left="855" w:hanging="855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3"/>
    <w:rsid w:val="000143B4"/>
    <w:rsid w:val="000203DF"/>
    <w:rsid w:val="00020CB3"/>
    <w:rsid w:val="00051286"/>
    <w:rsid w:val="00051479"/>
    <w:rsid w:val="000936B3"/>
    <w:rsid w:val="00094685"/>
    <w:rsid w:val="000A6F77"/>
    <w:rsid w:val="000C4986"/>
    <w:rsid w:val="000C7192"/>
    <w:rsid w:val="000E17B2"/>
    <w:rsid w:val="001320FA"/>
    <w:rsid w:val="00160C08"/>
    <w:rsid w:val="00181F75"/>
    <w:rsid w:val="00184F1A"/>
    <w:rsid w:val="001A7686"/>
    <w:rsid w:val="001C082A"/>
    <w:rsid w:val="001C4729"/>
    <w:rsid w:val="001D6966"/>
    <w:rsid w:val="0024090A"/>
    <w:rsid w:val="00252094"/>
    <w:rsid w:val="00275F92"/>
    <w:rsid w:val="002F238A"/>
    <w:rsid w:val="00306FB7"/>
    <w:rsid w:val="00312371"/>
    <w:rsid w:val="003317CA"/>
    <w:rsid w:val="003C2E29"/>
    <w:rsid w:val="003D0F43"/>
    <w:rsid w:val="0041146D"/>
    <w:rsid w:val="0041781B"/>
    <w:rsid w:val="00441A81"/>
    <w:rsid w:val="0046103B"/>
    <w:rsid w:val="00490549"/>
    <w:rsid w:val="00495FF8"/>
    <w:rsid w:val="004B0D70"/>
    <w:rsid w:val="004E3003"/>
    <w:rsid w:val="00590F80"/>
    <w:rsid w:val="005C2DA5"/>
    <w:rsid w:val="005D056A"/>
    <w:rsid w:val="0060416F"/>
    <w:rsid w:val="00643438"/>
    <w:rsid w:val="0067165C"/>
    <w:rsid w:val="006D69EE"/>
    <w:rsid w:val="006E2A34"/>
    <w:rsid w:val="007501CC"/>
    <w:rsid w:val="007A684A"/>
    <w:rsid w:val="007B1DCD"/>
    <w:rsid w:val="007C4DB7"/>
    <w:rsid w:val="007C6188"/>
    <w:rsid w:val="007D4310"/>
    <w:rsid w:val="007D44C6"/>
    <w:rsid w:val="007F6B44"/>
    <w:rsid w:val="00866E06"/>
    <w:rsid w:val="008761EB"/>
    <w:rsid w:val="008940BF"/>
    <w:rsid w:val="008A6CD3"/>
    <w:rsid w:val="008B377E"/>
    <w:rsid w:val="008B7B5F"/>
    <w:rsid w:val="009526C6"/>
    <w:rsid w:val="00954F26"/>
    <w:rsid w:val="00965D68"/>
    <w:rsid w:val="00981CF7"/>
    <w:rsid w:val="00994428"/>
    <w:rsid w:val="009B3E3A"/>
    <w:rsid w:val="009B4EDF"/>
    <w:rsid w:val="009C092B"/>
    <w:rsid w:val="00A066D5"/>
    <w:rsid w:val="00A270A6"/>
    <w:rsid w:val="00A407C3"/>
    <w:rsid w:val="00AA589C"/>
    <w:rsid w:val="00AD657E"/>
    <w:rsid w:val="00B75A6D"/>
    <w:rsid w:val="00BA24C0"/>
    <w:rsid w:val="00C163AC"/>
    <w:rsid w:val="00C34EBF"/>
    <w:rsid w:val="00C42B69"/>
    <w:rsid w:val="00CA3A76"/>
    <w:rsid w:val="00CC6C1E"/>
    <w:rsid w:val="00D0234C"/>
    <w:rsid w:val="00D11254"/>
    <w:rsid w:val="00D22646"/>
    <w:rsid w:val="00D42B25"/>
    <w:rsid w:val="00D72B1A"/>
    <w:rsid w:val="00D97DA1"/>
    <w:rsid w:val="00DB6AB6"/>
    <w:rsid w:val="00E03157"/>
    <w:rsid w:val="00E04308"/>
    <w:rsid w:val="00E15189"/>
    <w:rsid w:val="00E1646C"/>
    <w:rsid w:val="00E33AD7"/>
    <w:rsid w:val="00E5712D"/>
    <w:rsid w:val="00E643F3"/>
    <w:rsid w:val="00E66DCC"/>
    <w:rsid w:val="00E74B0A"/>
    <w:rsid w:val="00ED7C9C"/>
    <w:rsid w:val="00EE6DF1"/>
    <w:rsid w:val="00F305B7"/>
    <w:rsid w:val="00F43D58"/>
    <w:rsid w:val="00F74575"/>
    <w:rsid w:val="00F91AC5"/>
    <w:rsid w:val="00FD267F"/>
    <w:rsid w:val="1ADE749D"/>
    <w:rsid w:val="356E7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Salutation"/>
    <w:basedOn w:val="1"/>
    <w:next w:val="1"/>
    <w:link w:val="9"/>
    <w:uiPriority w:val="0"/>
    <w:rPr>
      <w:rFonts w:ascii="宋体"/>
      <w:sz w:val="24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  <w:style w:type="character" w:customStyle="1" w:styleId="9">
    <w:name w:val="称呼 字符"/>
    <w:link w:val="2"/>
    <w:uiPriority w:val="0"/>
    <w:rPr>
      <w:rFonts w:ascii="宋体"/>
      <w:kern w:val="2"/>
      <w:sz w:val="24"/>
    </w:rPr>
  </w:style>
  <w:style w:type="character" w:customStyle="1" w:styleId="10">
    <w:name w:val="称呼 字符1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2014-06-21T08:02:00Z</dcterms:created>
  <dc:creator>USER</dc:creator>
  <cp:lastModifiedBy>vertesyuan</cp:lastModifiedBy>
  <cp:lastPrinted>2011-06-30T09:20:00Z</cp:lastPrinted>
  <dcterms:modified xsi:type="dcterms:W3CDTF">2024-10-12T07:48:19Z</dcterms:modified>
  <dc:title>2011年硕士研究生入学考试专业课考试大纲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B4857648981E4B69B4566028B12CF153_13</vt:lpwstr>
  </property>
</Properties>
</file>