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778" w:right="652" w:hanging="2201"/>
        <w:spacing w:before="317" w:line="35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天津商业大学</w:t>
      </w:r>
      <w:r>
        <w:rPr>
          <w:rFonts w:ascii="SimHei" w:hAnsi="SimHei" w:eastAsia="SimHei" w:cs="SimHei"/>
          <w:sz w:val="31"/>
          <w:szCs w:val="31"/>
          <w:spacing w:val="-6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2025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年硕士研究生招生考试（初试）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自命题科目考试大纲</w:t>
      </w:r>
    </w:p>
    <w:p>
      <w:pPr>
        <w:ind w:left="24"/>
        <w:spacing w:before="168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</w:rPr>
        <w:t>科目代码：</w:t>
      </w:r>
      <w:r>
        <w:rPr>
          <w:rFonts w:ascii="SimHei" w:hAnsi="SimHei" w:eastAsia="SimHei" w:cs="SimHei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432                   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科目名称：统计学</w:t>
      </w:r>
    </w:p>
    <w:p>
      <w:pPr>
        <w:ind w:left="27"/>
        <w:spacing w:before="184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一、考试要求</w:t>
      </w:r>
    </w:p>
    <w:p>
      <w:pPr>
        <w:pStyle w:val="BodyText"/>
        <w:ind w:left="24" w:firstLine="479"/>
        <w:spacing w:before="268" w:line="347" w:lineRule="auto"/>
        <w:rPr/>
      </w:pPr>
      <w:r>
        <w:rPr>
          <w:spacing w:val="-1"/>
        </w:rPr>
        <w:t>本课程考试主要测试考生掌握数据收集、处理和</w:t>
      </w:r>
      <w:r>
        <w:rPr>
          <w:spacing w:val="-2"/>
        </w:rPr>
        <w:t>分析的一些基本统计方法。</w:t>
      </w:r>
      <w:r>
        <w:rPr/>
        <w:t xml:space="preserve"> </w:t>
      </w:r>
      <w:r>
        <w:rPr>
          <w:spacing w:val="-6"/>
        </w:rPr>
        <w:t>要求考生具有以下能力：</w:t>
      </w:r>
    </w:p>
    <w:p>
      <w:pPr>
        <w:pStyle w:val="BodyText"/>
        <w:ind w:left="1001"/>
        <w:spacing w:before="33" w:line="219" w:lineRule="auto"/>
        <w:rPr/>
      </w:pPr>
      <w:r>
        <w:rPr>
          <w:spacing w:val="-4"/>
        </w:rPr>
        <w:t>1. 能熟练掌握数据收集、整理和分析的基本方法；</w:t>
      </w:r>
    </w:p>
    <w:p>
      <w:pPr>
        <w:pStyle w:val="BodyText"/>
        <w:ind w:left="986"/>
        <w:spacing w:before="181" w:line="219" w:lineRule="auto"/>
        <w:rPr/>
      </w:pPr>
      <w:r>
        <w:rPr>
          <w:spacing w:val="-3"/>
        </w:rPr>
        <w:t>2. 具有运用统计方法分析数据和解释数据的基本能力；</w:t>
      </w:r>
    </w:p>
    <w:p>
      <w:pPr>
        <w:pStyle w:val="BodyText"/>
        <w:ind w:left="27" w:right="1321" w:firstLine="960"/>
        <w:spacing w:before="263" w:line="289" w:lineRule="auto"/>
        <w:rPr>
          <w:rFonts w:ascii="SimHei" w:hAnsi="SimHei" w:eastAsia="SimHei" w:cs="SimHei"/>
        </w:rPr>
      </w:pPr>
      <w:r>
        <w:rPr>
          <w:spacing w:val="-2"/>
        </w:rPr>
        <w:t>3. 能掌握基本的概率论知识，并将其应用于推断统计中。</w:t>
      </w:r>
      <w:r>
        <w:rPr>
          <w:spacing w:val="4"/>
        </w:rPr>
        <w:t xml:space="preserve"> </w:t>
      </w:r>
      <w:r>
        <w:rPr>
          <w:rFonts w:ascii="SimHei" w:hAnsi="SimHei" w:eastAsia="SimHei" w:cs="SimHei"/>
          <w:spacing w:val="-2"/>
        </w:rPr>
        <w:t>二、考试形式及时间</w:t>
      </w:r>
    </w:p>
    <w:p>
      <w:pPr>
        <w:pStyle w:val="BodyText"/>
        <w:ind w:left="522"/>
        <w:spacing w:before="105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1.  </w:t>
      </w:r>
      <w:r>
        <w:rPr>
          <w:spacing w:val="-3"/>
        </w:rPr>
        <w:t>考试形式：闭卷笔试，试卷满分为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</w:t>
      </w:r>
      <w:r>
        <w:rPr>
          <w:rFonts w:ascii="Times New Roman" w:hAnsi="Times New Roman" w:eastAsia="Times New Roman" w:cs="Times New Roman"/>
          <w:spacing w:val="-4"/>
        </w:rPr>
        <w:t>0 </w:t>
      </w:r>
      <w:r>
        <w:rPr>
          <w:spacing w:val="-4"/>
        </w:rPr>
        <w:t>分；</w:t>
      </w:r>
    </w:p>
    <w:p>
      <w:pPr>
        <w:pStyle w:val="BodyText"/>
        <w:ind w:left="499"/>
        <w:spacing w:before="180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2.  </w:t>
      </w:r>
      <w:r>
        <w:rPr>
          <w:spacing w:val="-3"/>
        </w:rPr>
        <w:t>考试时间：</w:t>
      </w:r>
      <w:r>
        <w:rPr>
          <w:rFonts w:ascii="Times New Roman" w:hAnsi="Times New Roman" w:eastAsia="Times New Roman" w:cs="Times New Roman"/>
          <w:spacing w:val="-3"/>
        </w:rPr>
        <w:t>180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3"/>
        </w:rPr>
        <w:t>分钟。</w:t>
      </w:r>
    </w:p>
    <w:p>
      <w:pPr>
        <w:ind w:left="28"/>
        <w:spacing w:before="262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三、考试内容</w:t>
      </w:r>
    </w:p>
    <w:p>
      <w:pPr>
        <w:pStyle w:val="BodyText"/>
        <w:ind w:left="512"/>
        <w:spacing w:before="105" w:line="220" w:lineRule="auto"/>
        <w:outlineLvl w:val="0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1.  </w:t>
      </w:r>
      <w:r>
        <w:rPr>
          <w:b/>
          <w:bCs/>
          <w:spacing w:val="-3"/>
        </w:rPr>
        <w:t>描述统计与数理统计学部分</w:t>
      </w:r>
    </w:p>
    <w:p>
      <w:pPr>
        <w:pStyle w:val="BodyText"/>
        <w:ind w:left="510"/>
        <w:spacing w:before="180" w:line="220" w:lineRule="auto"/>
        <w:rPr/>
      </w:pPr>
      <w:r>
        <w:rPr>
          <w:spacing w:val="-5"/>
        </w:rPr>
        <w:t>（1） 调查的组织和实施；</w:t>
      </w:r>
    </w:p>
    <w:p>
      <w:pPr>
        <w:pStyle w:val="BodyText"/>
        <w:ind w:left="510"/>
        <w:spacing w:before="181" w:line="220" w:lineRule="auto"/>
        <w:rPr/>
      </w:pPr>
      <w:r>
        <w:rPr>
          <w:spacing w:val="-5"/>
        </w:rPr>
        <w:t>（2） 概率抽样与非概率抽样；</w:t>
      </w:r>
    </w:p>
    <w:p>
      <w:pPr>
        <w:pStyle w:val="BodyText"/>
        <w:ind w:left="510"/>
        <w:spacing w:before="182" w:line="220" w:lineRule="auto"/>
        <w:rPr/>
      </w:pPr>
      <w:r>
        <w:rPr>
          <w:spacing w:val="-6"/>
        </w:rPr>
        <w:t>（3） 数据的预处理；</w:t>
      </w:r>
    </w:p>
    <w:p>
      <w:pPr>
        <w:pStyle w:val="BodyText"/>
        <w:ind w:left="510"/>
        <w:spacing w:before="180" w:line="220" w:lineRule="auto"/>
        <w:rPr/>
      </w:pPr>
      <w:r>
        <w:rPr>
          <w:spacing w:val="-5"/>
        </w:rPr>
        <w:t>（4） 用图表展示定性数据；</w:t>
      </w:r>
    </w:p>
    <w:p>
      <w:pPr>
        <w:pStyle w:val="BodyText"/>
        <w:ind w:left="510"/>
        <w:spacing w:before="182" w:line="220" w:lineRule="auto"/>
        <w:rPr/>
      </w:pPr>
      <w:r>
        <w:rPr>
          <w:spacing w:val="-5"/>
        </w:rPr>
        <w:t>（5） 用图表展示定量数据；</w:t>
      </w:r>
    </w:p>
    <w:p>
      <w:pPr>
        <w:pStyle w:val="BodyText"/>
        <w:ind w:left="510"/>
        <w:spacing w:before="180" w:line="220" w:lineRule="auto"/>
        <w:rPr/>
      </w:pPr>
      <w:r>
        <w:rPr>
          <w:spacing w:val="-2"/>
        </w:rPr>
        <w:t>（6） 用统计量描述数据的水平：平均数、中位</w:t>
      </w:r>
      <w:r>
        <w:rPr>
          <w:spacing w:val="-3"/>
        </w:rPr>
        <w:t>数、分位数和众数；</w:t>
      </w:r>
    </w:p>
    <w:p>
      <w:pPr>
        <w:pStyle w:val="BodyText"/>
        <w:ind w:left="510"/>
        <w:spacing w:before="182" w:line="219" w:lineRule="auto"/>
        <w:rPr/>
      </w:pPr>
      <w:r>
        <w:rPr>
          <w:spacing w:val="-3"/>
        </w:rPr>
        <w:t>（7） 用统计量描述数据的差异：极差、标准差、样本方差；</w:t>
      </w:r>
    </w:p>
    <w:p>
      <w:pPr>
        <w:pStyle w:val="BodyText"/>
        <w:ind w:left="510"/>
        <w:spacing w:before="182" w:line="218" w:lineRule="auto"/>
        <w:rPr/>
      </w:pPr>
      <w:r>
        <w:rPr>
          <w:spacing w:val="-5"/>
        </w:rPr>
        <w:t>（8） 参数估计的基本原理；</w:t>
      </w:r>
    </w:p>
    <w:p>
      <w:pPr>
        <w:pStyle w:val="BodyText"/>
        <w:ind w:left="510"/>
        <w:spacing w:before="184" w:line="218" w:lineRule="auto"/>
        <w:rPr/>
      </w:pPr>
      <w:r>
        <w:rPr>
          <w:spacing w:val="-4"/>
        </w:rPr>
        <w:t>（9） 一个总体和两个总体参数的区间估计；</w:t>
      </w:r>
    </w:p>
    <w:p>
      <w:pPr>
        <w:pStyle w:val="BodyText"/>
        <w:ind w:left="510"/>
        <w:spacing w:before="182" w:line="219" w:lineRule="auto"/>
        <w:rPr/>
      </w:pPr>
      <w:r>
        <w:rPr>
          <w:spacing w:val="-7"/>
        </w:rPr>
        <w:t>（10）</w:t>
      </w:r>
      <w:r>
        <w:rPr>
          <w:spacing w:val="-47"/>
        </w:rPr>
        <w:t xml:space="preserve"> </w:t>
      </w:r>
      <w:r>
        <w:rPr>
          <w:spacing w:val="-7"/>
        </w:rPr>
        <w:t>样本量的确定；</w:t>
      </w:r>
    </w:p>
    <w:p>
      <w:pPr>
        <w:pStyle w:val="BodyText"/>
        <w:ind w:left="510"/>
        <w:spacing w:before="183" w:line="219" w:lineRule="auto"/>
        <w:rPr/>
      </w:pPr>
      <w:r>
        <w:rPr>
          <w:spacing w:val="-6"/>
        </w:rPr>
        <w:t>（11）</w:t>
      </w:r>
      <w:r>
        <w:rPr>
          <w:spacing w:val="-43"/>
        </w:rPr>
        <w:t xml:space="preserve"> </w:t>
      </w:r>
      <w:r>
        <w:rPr>
          <w:spacing w:val="-6"/>
        </w:rPr>
        <w:t>假设检验的基本原理；</w:t>
      </w:r>
    </w:p>
    <w:p>
      <w:pPr>
        <w:pStyle w:val="BodyText"/>
        <w:ind w:left="510"/>
        <w:spacing w:before="181" w:line="220" w:lineRule="auto"/>
        <w:rPr/>
      </w:pPr>
      <w:r>
        <w:rPr>
          <w:spacing w:val="-5"/>
        </w:rPr>
        <w:t>（12）</w:t>
      </w:r>
      <w:r>
        <w:rPr>
          <w:spacing w:val="-34"/>
        </w:rPr>
        <w:t xml:space="preserve"> </w:t>
      </w:r>
      <w:r>
        <w:rPr>
          <w:spacing w:val="-5"/>
        </w:rPr>
        <w:t>一个总体和两个总体参数的检验；</w:t>
      </w:r>
    </w:p>
    <w:p>
      <w:pPr>
        <w:pStyle w:val="BodyText"/>
        <w:ind w:left="510"/>
        <w:spacing w:before="183" w:line="219" w:lineRule="auto"/>
        <w:rPr/>
      </w:pPr>
      <w:r>
        <w:rPr>
          <w:spacing w:val="-5"/>
        </w:rPr>
        <w:t>（13） 方差分析的基本原理；</w:t>
      </w:r>
    </w:p>
    <w:p>
      <w:pPr>
        <w:pStyle w:val="BodyText"/>
        <w:ind w:left="510"/>
        <w:spacing w:before="180" w:line="220" w:lineRule="auto"/>
        <w:rPr/>
      </w:pPr>
      <w:r>
        <w:rPr>
          <w:spacing w:val="-3"/>
        </w:rPr>
        <w:t>（14） 单因子和双因子方差分析的实现和结果解释；</w:t>
      </w:r>
    </w:p>
    <w:p>
      <w:pPr>
        <w:spacing w:line="220" w:lineRule="auto"/>
        <w:sectPr>
          <w:pgSz w:w="11907" w:h="16839"/>
          <w:pgMar w:top="1431" w:right="1739" w:bottom="0" w:left="1785" w:header="0" w:footer="0" w:gutter="0"/>
        </w:sectPr>
        <w:rPr/>
      </w:pPr>
    </w:p>
    <w:p>
      <w:pPr>
        <w:pStyle w:val="BodyText"/>
        <w:ind w:left="510"/>
        <w:spacing w:before="47" w:line="220" w:lineRule="auto"/>
        <w:rPr/>
      </w:pPr>
      <w:r>
        <w:rPr>
          <w:spacing w:val="-3"/>
        </w:rPr>
        <w:t>（15） 变量间的关系；相关关系和函数关系的差别；</w:t>
      </w:r>
    </w:p>
    <w:p>
      <w:pPr>
        <w:pStyle w:val="BodyText"/>
        <w:ind w:left="510"/>
        <w:spacing w:before="182" w:line="218" w:lineRule="auto"/>
        <w:rPr/>
      </w:pPr>
      <w:r>
        <w:rPr>
          <w:spacing w:val="-5"/>
        </w:rPr>
        <w:t>（16）</w:t>
      </w:r>
      <w:r>
        <w:rPr>
          <w:spacing w:val="-44"/>
        </w:rPr>
        <w:t xml:space="preserve"> </w:t>
      </w:r>
      <w:r>
        <w:rPr>
          <w:spacing w:val="-5"/>
        </w:rPr>
        <w:t>一元线性回归的估计和检验；</w:t>
      </w:r>
    </w:p>
    <w:p>
      <w:pPr>
        <w:pStyle w:val="BodyText"/>
        <w:ind w:left="510"/>
        <w:spacing w:before="181" w:line="219" w:lineRule="auto"/>
        <w:rPr/>
      </w:pPr>
      <w:r>
        <w:rPr>
          <w:spacing w:val="-5"/>
        </w:rPr>
        <w:t>（17） 用残差检验模型的假定；</w:t>
      </w:r>
    </w:p>
    <w:p>
      <w:pPr>
        <w:pStyle w:val="BodyText"/>
        <w:ind w:left="510"/>
        <w:spacing w:before="182" w:line="220" w:lineRule="auto"/>
        <w:rPr/>
      </w:pPr>
      <w:r>
        <w:rPr>
          <w:spacing w:val="-5"/>
        </w:rPr>
        <w:t>（18） 多元线性回归模型；</w:t>
      </w:r>
    </w:p>
    <w:p>
      <w:pPr>
        <w:pStyle w:val="BodyText"/>
        <w:ind w:left="510"/>
        <w:spacing w:before="180" w:line="219" w:lineRule="auto"/>
        <w:rPr/>
      </w:pPr>
      <w:r>
        <w:rPr>
          <w:spacing w:val="-3"/>
        </w:rPr>
        <w:t>（19） 多元线性回归的拟合优度和显著性检验；</w:t>
      </w:r>
    </w:p>
    <w:p>
      <w:pPr>
        <w:pStyle w:val="BodyText"/>
        <w:ind w:left="510"/>
        <w:spacing w:before="183" w:line="220" w:lineRule="auto"/>
        <w:rPr/>
      </w:pPr>
      <w:r>
        <w:rPr>
          <w:spacing w:val="-5"/>
        </w:rPr>
        <w:t>（20） 多重共线性现象；</w:t>
      </w:r>
    </w:p>
    <w:p>
      <w:pPr>
        <w:pStyle w:val="BodyText"/>
        <w:ind w:left="510"/>
        <w:spacing w:before="180" w:line="220" w:lineRule="auto"/>
        <w:rPr/>
      </w:pPr>
      <w:r>
        <w:rPr>
          <w:spacing w:val="-7"/>
        </w:rPr>
        <w:t>（21）</w:t>
      </w:r>
      <w:r>
        <w:rPr>
          <w:spacing w:val="-28"/>
        </w:rPr>
        <w:t xml:space="preserve"> </w:t>
      </w:r>
      <w:r>
        <w:rPr>
          <w:spacing w:val="-7"/>
        </w:rPr>
        <w:t>时间序列的组成要素；</w:t>
      </w:r>
    </w:p>
    <w:p>
      <w:pPr>
        <w:pStyle w:val="BodyText"/>
        <w:ind w:left="510"/>
        <w:spacing w:before="183" w:line="220" w:lineRule="auto"/>
        <w:rPr/>
      </w:pPr>
      <w:r>
        <w:rPr>
          <w:spacing w:val="-7"/>
        </w:rPr>
        <w:t>（22）</w:t>
      </w:r>
      <w:r>
        <w:rPr>
          <w:spacing w:val="-28"/>
        </w:rPr>
        <w:t xml:space="preserve"> </w:t>
      </w:r>
      <w:r>
        <w:rPr>
          <w:spacing w:val="-7"/>
        </w:rPr>
        <w:t>时间序列的预测方法；</w:t>
      </w:r>
    </w:p>
    <w:p>
      <w:pPr>
        <w:pStyle w:val="BodyText"/>
        <w:ind w:left="510"/>
        <w:spacing w:before="180" w:line="220" w:lineRule="auto"/>
        <w:rPr/>
      </w:pPr>
      <w:r>
        <w:rPr>
          <w:spacing w:val="-4"/>
        </w:rPr>
        <w:t>（23） 非线性关系的处理。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502"/>
        <w:spacing w:before="78" w:line="220" w:lineRule="auto"/>
        <w:outlineLvl w:val="0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2.  </w:t>
      </w:r>
      <w:r>
        <w:rPr>
          <w:b/>
          <w:bCs/>
          <w:spacing w:val="-2"/>
        </w:rPr>
        <w:t>概率论部分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551"/>
        <w:spacing w:before="79" w:line="219" w:lineRule="auto"/>
        <w:rPr/>
      </w:pPr>
      <w:r>
        <w:rPr>
          <w:spacing w:val="-5"/>
        </w:rPr>
        <w:t>（1）随机事件的关系与运算；</w:t>
      </w:r>
    </w:p>
    <w:p>
      <w:pPr>
        <w:pStyle w:val="BodyText"/>
        <w:ind w:left="551"/>
        <w:spacing w:before="183" w:line="220" w:lineRule="auto"/>
        <w:rPr/>
      </w:pPr>
      <w:r>
        <w:rPr>
          <w:spacing w:val="-6"/>
        </w:rPr>
        <w:t>（2）事件的概率和频率；</w:t>
      </w:r>
    </w:p>
    <w:p>
      <w:pPr>
        <w:pStyle w:val="BodyText"/>
        <w:ind w:left="551"/>
        <w:spacing w:before="179" w:line="220" w:lineRule="auto"/>
        <w:rPr/>
      </w:pPr>
      <w:r>
        <w:rPr>
          <w:spacing w:val="-4"/>
        </w:rPr>
        <w:t>（3）条件概率、全概率公式和贝叶斯公式；</w:t>
      </w:r>
    </w:p>
    <w:p>
      <w:pPr>
        <w:pStyle w:val="BodyText"/>
        <w:ind w:left="551"/>
        <w:spacing w:before="183" w:line="219" w:lineRule="auto"/>
        <w:rPr/>
      </w:pPr>
      <w:r>
        <w:rPr>
          <w:spacing w:val="-6"/>
        </w:rPr>
        <w:t>（4）随机变量的定义；</w:t>
      </w:r>
    </w:p>
    <w:p>
      <w:pPr>
        <w:pStyle w:val="BodyText"/>
        <w:ind w:left="23" w:right="106" w:firstLine="527"/>
        <w:spacing w:before="182" w:line="289" w:lineRule="auto"/>
        <w:rPr/>
      </w:pPr>
      <w:r>
        <w:rPr>
          <w:spacing w:val="-1"/>
        </w:rPr>
        <w:t>（5）离散型随机变量分布函数和概率密度：常见的离散型分布，如均匀分</w:t>
      </w:r>
      <w:r>
        <w:rPr>
          <w:spacing w:val="2"/>
        </w:rPr>
        <w:t xml:space="preserve"> </w:t>
      </w:r>
      <w:r>
        <w:rPr>
          <w:spacing w:val="-6"/>
        </w:rPr>
        <w:t>布、二项分布和泊松分布；</w:t>
      </w:r>
    </w:p>
    <w:p>
      <w:pPr>
        <w:pStyle w:val="BodyText"/>
        <w:ind w:left="23" w:right="117" w:firstLine="527"/>
        <w:spacing w:before="185" w:line="288" w:lineRule="auto"/>
        <w:rPr/>
      </w:pPr>
      <w:r>
        <w:rPr>
          <w:spacing w:val="-1"/>
        </w:rPr>
        <w:t>（6）连续型随机变量分布函数和概率密度：常见的连</w:t>
      </w:r>
      <w:r>
        <w:rPr>
          <w:spacing w:val="-2"/>
        </w:rPr>
        <w:t>续型分布，如均匀分</w:t>
      </w:r>
      <w:r>
        <w:rPr/>
        <w:t xml:space="preserve"> </w:t>
      </w:r>
      <w:r>
        <w:rPr>
          <w:spacing w:val="-6"/>
        </w:rPr>
        <w:t>布、指数分布、正态分布；</w:t>
      </w:r>
    </w:p>
    <w:p>
      <w:pPr>
        <w:pStyle w:val="BodyText"/>
        <w:ind w:left="551"/>
        <w:spacing w:before="183" w:line="219" w:lineRule="auto"/>
        <w:rPr/>
      </w:pPr>
      <w:r>
        <w:rPr>
          <w:spacing w:val="-4"/>
        </w:rPr>
        <w:t>（7）随机变量的数字特征：期望与方差；</w:t>
      </w:r>
    </w:p>
    <w:p>
      <w:pPr>
        <w:pStyle w:val="BodyText"/>
        <w:ind w:left="551"/>
        <w:spacing w:before="181" w:line="219" w:lineRule="auto"/>
        <w:rPr/>
      </w:pPr>
      <w:r>
        <w:rPr>
          <w:spacing w:val="-4"/>
        </w:rPr>
        <w:t>（8）随机变量函数的期望与方差。</w:t>
      </w:r>
    </w:p>
    <w:p>
      <w:pPr>
        <w:ind w:left="38"/>
        <w:spacing w:before="264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四、考试题型及比例</w:t>
      </w:r>
    </w:p>
    <w:p>
      <w:pPr>
        <w:spacing w:before="27"/>
        <w:rPr/>
      </w:pPr>
      <w:r/>
    </w:p>
    <w:p>
      <w:pPr>
        <w:spacing w:before="27"/>
        <w:rPr/>
      </w:pPr>
      <w:r/>
    </w:p>
    <w:tbl>
      <w:tblPr>
        <w:tblStyle w:val="TableNormal"/>
        <w:tblW w:w="8286" w:type="dxa"/>
        <w:tblInd w:w="14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25"/>
        <w:gridCol w:w="1490"/>
        <w:gridCol w:w="1736"/>
        <w:gridCol w:w="1687"/>
        <w:gridCol w:w="1448"/>
      </w:tblGrid>
      <w:tr>
        <w:trPr>
          <w:trHeight w:val="944" w:hRule="atLeast"/>
        </w:trPr>
        <w:tc>
          <w:tcPr>
            <w:tcW w:w="1925" w:type="dxa"/>
            <w:vAlign w:val="top"/>
            <w:tcBorders>
              <w:left w:val="nil"/>
              <w:tl2br w:val="single" w:color="000000" w:sz="2" w:space="0"/>
            </w:tcBorders>
          </w:tcPr>
          <w:p>
            <w:pPr>
              <w:pStyle w:val="TableText"/>
              <w:ind w:left="1091"/>
              <w:spacing w:before="119" w:line="222" w:lineRule="auto"/>
              <w:rPr/>
            </w:pPr>
            <w:r>
              <w:rPr>
                <w:spacing w:val="-3"/>
              </w:rPr>
              <w:t>题型</w:t>
            </w:r>
          </w:p>
          <w:p>
            <w:pPr>
              <w:pStyle w:val="TableText"/>
              <w:ind w:left="160"/>
              <w:spacing w:before="179" w:line="220" w:lineRule="auto"/>
              <w:rPr/>
            </w:pPr>
            <w:r>
              <w:rPr>
                <w:spacing w:val="-10"/>
              </w:rPr>
              <w:t>内容</w:t>
            </w:r>
          </w:p>
        </w:tc>
        <w:tc>
          <w:tcPr>
            <w:tcW w:w="149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78" w:line="220" w:lineRule="auto"/>
              <w:rPr/>
            </w:pPr>
            <w:r>
              <w:rPr>
                <w:spacing w:val="-2"/>
              </w:rPr>
              <w:t>单项选择题</w:t>
            </w:r>
          </w:p>
        </w:tc>
        <w:tc>
          <w:tcPr>
            <w:tcW w:w="173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8"/>
              <w:spacing w:before="78" w:line="219" w:lineRule="auto"/>
              <w:rPr/>
            </w:pPr>
            <w:r>
              <w:rPr>
                <w:spacing w:val="-4"/>
              </w:rPr>
              <w:t>简答题</w:t>
            </w:r>
          </w:p>
        </w:tc>
        <w:tc>
          <w:tcPr>
            <w:tcW w:w="168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78" w:line="220" w:lineRule="auto"/>
              <w:rPr/>
            </w:pPr>
            <w:r>
              <w:rPr>
                <w:spacing w:val="-2"/>
              </w:rPr>
              <w:t>计算与分析题</w:t>
            </w:r>
          </w:p>
        </w:tc>
        <w:tc>
          <w:tcPr>
            <w:tcW w:w="1448" w:type="dxa"/>
            <w:vAlign w:val="top"/>
            <w:tcBorders>
              <w:right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78" w:line="221" w:lineRule="auto"/>
              <w:rPr/>
            </w:pPr>
            <w:r>
              <w:rPr>
                <w:spacing w:val="-3"/>
              </w:rPr>
              <w:t>应用题</w:t>
            </w:r>
          </w:p>
        </w:tc>
      </w:tr>
      <w:tr>
        <w:trPr>
          <w:trHeight w:val="481" w:hRule="atLeast"/>
        </w:trPr>
        <w:tc>
          <w:tcPr>
            <w:tcW w:w="1925" w:type="dxa"/>
            <w:vAlign w:val="top"/>
            <w:tcBorders>
              <w:left w:val="nil"/>
            </w:tcBorders>
          </w:tcPr>
          <w:p>
            <w:pPr>
              <w:pStyle w:val="TableText"/>
              <w:ind w:left="864"/>
              <w:spacing w:before="42" w:line="221" w:lineRule="auto"/>
              <w:rPr/>
            </w:pPr>
            <w:r>
              <w:rPr>
                <w:spacing w:val="-4"/>
              </w:rPr>
              <w:t>统计学</w:t>
            </w:r>
          </w:p>
        </w:tc>
        <w:tc>
          <w:tcPr>
            <w:tcW w:w="1490" w:type="dxa"/>
            <w:vAlign w:val="top"/>
          </w:tcPr>
          <w:p>
            <w:pPr>
              <w:pStyle w:val="TableText"/>
              <w:ind w:left="598"/>
              <w:spacing w:before="42" w:line="220" w:lineRule="auto"/>
              <w:rPr/>
            </w:pPr>
            <w:r>
              <w:rPr>
                <w:spacing w:val="-5"/>
              </w:rPr>
              <w:t>20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分</w:t>
            </w:r>
          </w:p>
        </w:tc>
        <w:tc>
          <w:tcPr>
            <w:tcW w:w="1736" w:type="dxa"/>
            <w:vAlign w:val="top"/>
          </w:tcPr>
          <w:p>
            <w:pPr>
              <w:pStyle w:val="TableText"/>
              <w:ind w:left="600"/>
              <w:spacing w:before="42" w:line="220" w:lineRule="auto"/>
              <w:rPr/>
            </w:pPr>
            <w:r>
              <w:rPr>
                <w:spacing w:val="-5"/>
              </w:rPr>
              <w:t>30</w:t>
            </w:r>
            <w:r>
              <w:rPr>
                <w:spacing w:val="-48"/>
              </w:rPr>
              <w:t xml:space="preserve"> </w:t>
            </w:r>
            <w:r>
              <w:rPr>
                <w:spacing w:val="-5"/>
              </w:rPr>
              <w:t>分</w:t>
            </w:r>
          </w:p>
        </w:tc>
        <w:tc>
          <w:tcPr>
            <w:tcW w:w="1687" w:type="dxa"/>
            <w:vAlign w:val="top"/>
          </w:tcPr>
          <w:p>
            <w:pPr>
              <w:pStyle w:val="TableText"/>
              <w:ind w:left="599"/>
              <w:spacing w:before="42" w:line="220" w:lineRule="auto"/>
              <w:rPr/>
            </w:pPr>
            <w:r>
              <w:rPr>
                <w:spacing w:val="-5"/>
              </w:rPr>
              <w:t>50</w:t>
            </w:r>
            <w:r>
              <w:rPr>
                <w:spacing w:val="-48"/>
              </w:rPr>
              <w:t xml:space="preserve"> </w:t>
            </w:r>
            <w:r>
              <w:rPr>
                <w:spacing w:val="-5"/>
              </w:rPr>
              <w:t>分</w:t>
            </w:r>
          </w:p>
        </w:tc>
        <w:tc>
          <w:tcPr>
            <w:tcW w:w="1448" w:type="dxa"/>
            <w:vAlign w:val="top"/>
            <w:tcBorders>
              <w:right w:val="nil"/>
            </w:tcBorders>
          </w:tcPr>
          <w:p>
            <w:pPr>
              <w:pStyle w:val="TableText"/>
              <w:ind w:left="598"/>
              <w:spacing w:before="82" w:line="181" w:lineRule="auto"/>
              <w:rPr/>
            </w:pPr>
            <w:r>
              <w:rPr>
                <w:spacing w:val="-4"/>
              </w:rPr>
              <w:t>20</w:t>
            </w:r>
          </w:p>
        </w:tc>
      </w:tr>
      <w:tr>
        <w:trPr>
          <w:trHeight w:val="481" w:hRule="atLeast"/>
        </w:trPr>
        <w:tc>
          <w:tcPr>
            <w:tcW w:w="1925" w:type="dxa"/>
            <w:vAlign w:val="top"/>
            <w:tcBorders>
              <w:left w:val="nil"/>
            </w:tcBorders>
          </w:tcPr>
          <w:p>
            <w:pPr>
              <w:pStyle w:val="TableText"/>
              <w:ind w:left="858"/>
              <w:spacing w:before="45" w:line="220" w:lineRule="auto"/>
              <w:rPr/>
            </w:pPr>
            <w:r>
              <w:rPr>
                <w:spacing w:val="-3"/>
              </w:rPr>
              <w:t>概率论</w:t>
            </w:r>
          </w:p>
        </w:tc>
        <w:tc>
          <w:tcPr>
            <w:tcW w:w="1490" w:type="dxa"/>
            <w:vAlign w:val="top"/>
          </w:tcPr>
          <w:p>
            <w:pPr>
              <w:pStyle w:val="TableText"/>
              <w:ind w:left="612"/>
              <w:spacing w:before="46" w:line="220" w:lineRule="auto"/>
              <w:rPr/>
            </w:pPr>
            <w:r>
              <w:rPr>
                <w:spacing w:val="-10"/>
              </w:rPr>
              <w:t>10</w:t>
            </w:r>
            <w:r>
              <w:rPr>
                <w:spacing w:val="-46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1736" w:type="dxa"/>
            <w:vAlign w:val="top"/>
          </w:tcPr>
          <w:p>
            <w:pPr>
              <w:pStyle w:val="TableText"/>
              <w:ind w:left="613"/>
              <w:spacing w:before="46" w:line="220" w:lineRule="auto"/>
              <w:rPr/>
            </w:pPr>
            <w:r>
              <w:rPr>
                <w:spacing w:val="-10"/>
              </w:rPr>
              <w:t>10</w:t>
            </w:r>
            <w:r>
              <w:rPr>
                <w:spacing w:val="-46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1687" w:type="dxa"/>
            <w:vAlign w:val="top"/>
          </w:tcPr>
          <w:p>
            <w:pPr>
              <w:pStyle w:val="TableText"/>
              <w:ind w:left="612"/>
              <w:spacing w:before="46" w:line="220" w:lineRule="auto"/>
              <w:rPr/>
            </w:pPr>
            <w:r>
              <w:rPr>
                <w:spacing w:val="-10"/>
              </w:rPr>
              <w:t>10</w:t>
            </w:r>
            <w:r>
              <w:rPr>
                <w:spacing w:val="-46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1448" w:type="dxa"/>
            <w:vAlign w:val="top"/>
            <w:tcBorders>
              <w:right w:val="nil"/>
            </w:tcBorders>
          </w:tcPr>
          <w:p>
            <w:pPr>
              <w:pStyle w:val="TableText"/>
              <w:ind w:left="597"/>
              <w:spacing w:before="86" w:line="181" w:lineRule="auto"/>
              <w:rPr/>
            </w:pPr>
            <w:r>
              <w:rPr/>
              <w:t>0</w:t>
            </w:r>
          </w:p>
        </w:tc>
      </w:tr>
      <w:tr>
        <w:trPr>
          <w:trHeight w:val="488" w:hRule="atLeast"/>
        </w:trPr>
        <w:tc>
          <w:tcPr>
            <w:tcW w:w="1925" w:type="dxa"/>
            <w:vAlign w:val="top"/>
            <w:tcBorders>
              <w:left w:val="nil"/>
            </w:tcBorders>
          </w:tcPr>
          <w:p>
            <w:pPr>
              <w:pStyle w:val="TableText"/>
              <w:ind w:left="859"/>
              <w:spacing w:before="46" w:line="221" w:lineRule="auto"/>
              <w:rPr/>
            </w:pPr>
            <w:r>
              <w:rPr>
                <w:spacing w:val="-6"/>
              </w:rPr>
              <w:t>合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计</w:t>
            </w:r>
          </w:p>
        </w:tc>
        <w:tc>
          <w:tcPr>
            <w:tcW w:w="1490" w:type="dxa"/>
            <w:vAlign w:val="top"/>
          </w:tcPr>
          <w:p>
            <w:pPr>
              <w:pStyle w:val="TableText"/>
              <w:ind w:left="599"/>
              <w:spacing w:before="47" w:line="220" w:lineRule="auto"/>
              <w:rPr/>
            </w:pPr>
            <w:r>
              <w:rPr>
                <w:spacing w:val="-5"/>
              </w:rPr>
              <w:t>30</w:t>
            </w:r>
            <w:r>
              <w:rPr>
                <w:spacing w:val="-48"/>
              </w:rPr>
              <w:t xml:space="preserve"> </w:t>
            </w:r>
            <w:r>
              <w:rPr>
                <w:spacing w:val="-5"/>
              </w:rPr>
              <w:t>分</w:t>
            </w:r>
          </w:p>
        </w:tc>
        <w:tc>
          <w:tcPr>
            <w:tcW w:w="1736" w:type="dxa"/>
            <w:vAlign w:val="top"/>
          </w:tcPr>
          <w:p>
            <w:pPr>
              <w:pStyle w:val="TableText"/>
              <w:ind w:left="594"/>
              <w:spacing w:before="47" w:line="220" w:lineRule="auto"/>
              <w:rPr/>
            </w:pPr>
            <w:r>
              <w:rPr>
                <w:spacing w:val="-3"/>
              </w:rPr>
              <w:t>40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分</w:t>
            </w:r>
          </w:p>
        </w:tc>
        <w:tc>
          <w:tcPr>
            <w:tcW w:w="1687" w:type="dxa"/>
            <w:vAlign w:val="top"/>
          </w:tcPr>
          <w:p>
            <w:pPr>
              <w:pStyle w:val="TableText"/>
              <w:ind w:left="597"/>
              <w:spacing w:before="47" w:line="220" w:lineRule="auto"/>
              <w:rPr/>
            </w:pPr>
            <w:r>
              <w:rPr>
                <w:spacing w:val="-4"/>
              </w:rPr>
              <w:t>60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分</w:t>
            </w:r>
          </w:p>
        </w:tc>
        <w:tc>
          <w:tcPr>
            <w:tcW w:w="1448" w:type="dxa"/>
            <w:vAlign w:val="top"/>
            <w:tcBorders>
              <w:right w:val="nil"/>
            </w:tcBorders>
          </w:tcPr>
          <w:p>
            <w:pPr>
              <w:pStyle w:val="TableText"/>
              <w:ind w:left="598"/>
              <w:spacing w:before="87" w:line="181" w:lineRule="auto"/>
              <w:rPr/>
            </w:pPr>
            <w:r>
              <w:rPr>
                <w:spacing w:val="-4"/>
              </w:rPr>
              <w:t>20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428" w:right="1692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30"/>
        <w:spacing w:before="123" w:line="220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五、参考书目</w:t>
      </w:r>
    </w:p>
    <w:p>
      <w:pPr>
        <w:pStyle w:val="BodyText"/>
        <w:ind w:left="24" w:right="89" w:firstLine="516"/>
        <w:spacing w:before="67" w:line="359" w:lineRule="auto"/>
        <w:rPr/>
      </w:pPr>
      <w:r>
        <w:rPr>
          <w:color w:val="333333"/>
          <w:spacing w:val="-2"/>
        </w:rPr>
        <w:t>[1] </w:t>
      </w:r>
      <w:r>
        <w:rPr>
          <w:spacing w:val="-2"/>
        </w:rPr>
        <w:t>贾俊平，何晓群，金勇进.统计学（第七版</w:t>
      </w:r>
      <w:r>
        <w:rPr>
          <w:spacing w:val="9"/>
        </w:rPr>
        <w:t>），</w:t>
      </w:r>
      <w:r>
        <w:rPr>
          <w:spacing w:val="-2"/>
        </w:rPr>
        <w:t>北京：</w:t>
      </w:r>
      <w:hyperlink w:history="true" r:id="rId1">
        <w:r>
          <w:rPr>
            <w:spacing w:val="-2"/>
          </w:rPr>
          <w:t>中国人民大学出</w:t>
        </w:r>
      </w:hyperlink>
      <w:r>
        <w:rPr>
          <w:spacing w:val="1"/>
        </w:rPr>
        <w:t xml:space="preserve"> </w:t>
      </w:r>
      <w:hyperlink w:history="true" r:id="rId1">
        <w:r>
          <w:rPr>
            <w:spacing w:val="-2"/>
          </w:rPr>
          <w:t>版社，</w:t>
        </w:r>
      </w:hyperlink>
      <w:r>
        <w:rPr>
          <w:spacing w:val="-2"/>
        </w:rPr>
        <w:t>2018.</w:t>
      </w:r>
    </w:p>
    <w:p>
      <w:pPr>
        <w:pStyle w:val="BodyText"/>
        <w:ind w:left="30" w:firstLine="510"/>
        <w:spacing w:line="302" w:lineRule="auto"/>
        <w:rPr/>
      </w:pPr>
      <w:r>
        <w:rPr>
          <w:spacing w:val="-7"/>
        </w:rPr>
        <w:t>[2] 茆诗松,</w:t>
      </w:r>
      <w:r>
        <w:rPr>
          <w:spacing w:val="-46"/>
        </w:rPr>
        <w:t xml:space="preserve"> </w:t>
      </w:r>
      <w:hyperlink w:history="true" r:id="rId2">
        <w:r>
          <w:rPr>
            <w:spacing w:val="-7"/>
          </w:rPr>
          <w:t>程依明，</w:t>
        </w:r>
      </w:hyperlink>
      <w:hyperlink w:history="true" r:id="rId3">
        <w:r>
          <w:rPr>
            <w:spacing w:val="-7"/>
          </w:rPr>
          <w:t>濮晓龙著</w:t>
        </w:r>
      </w:hyperlink>
      <w:r>
        <w:rPr>
          <w:spacing w:val="-7"/>
        </w:rPr>
        <w:t>编.概率论与数理</w:t>
      </w:r>
      <w:r>
        <w:rPr>
          <w:spacing w:val="-8"/>
        </w:rPr>
        <w:t>统计教程（第三版）.北京：</w:t>
      </w:r>
      <w:r>
        <w:rPr/>
        <w:t xml:space="preserve"> </w:t>
      </w:r>
      <w:r>
        <w:rPr>
          <w:spacing w:val="-2"/>
        </w:rPr>
        <w:t>高等教育出版社,2019.</w:t>
      </w:r>
    </w:p>
    <w:sectPr>
      <w:pgSz w:w="11907" w:h="16839"/>
      <w:pgMar w:top="1431" w:right="173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hyperlink" Target="https://book.jd.com/writer/%E6%BF%AE%E6%99%93%E9%BE%99_1.html" TargetMode="External"/><Relationship Id="rId2" Type="http://schemas.openxmlformats.org/officeDocument/2006/relationships/hyperlink" Target="https://book.jd.com/writer/%E7%A8%8B%E4%BE%9D%E6%98%8E_1.html" TargetMode="External"/><Relationship Id="rId1" Type="http://schemas.openxmlformats.org/officeDocument/2006/relationships/hyperlink" Target="http://baike.baidu.com/view/66069.htm" TargetMode="Externa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天津商业大学硕士生入学考试业务课程大纲</dc:title>
  <dc:creator>pgc</dc:creator>
  <dcterms:created xsi:type="dcterms:W3CDTF">2024-09-29T10:58:49Z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2024-10-11T22:23:10</vt:filetime>
  </property>
</Properties>
</file>