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napToGrid w:val="0"/>
        <w:spacing w:line="360" w:lineRule="auto"/>
        <w:ind w:firstLine="540" w:firstLineChars="168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32"/>
          <w:szCs w:val="32"/>
        </w:rPr>
        <w:t>《普通物理》　考试大纲</w:t>
      </w:r>
    </w:p>
    <w:p>
      <w:pPr>
        <w:widowControl/>
        <w:snapToGrid w:val="0"/>
        <w:spacing w:line="360" w:lineRule="auto"/>
        <w:ind w:firstLine="540" w:firstLineChars="168"/>
        <w:jc w:val="center"/>
        <w:rPr>
          <w:rFonts w:ascii="宋体" w:hAnsi="宋体" w:cs="宋体"/>
          <w:b/>
          <w:kern w:val="0"/>
          <w:sz w:val="32"/>
          <w:szCs w:val="32"/>
        </w:rPr>
      </w:pPr>
    </w:p>
    <w:p>
      <w:pPr>
        <w:widowControl/>
        <w:snapToGrid w:val="0"/>
        <w:spacing w:line="360" w:lineRule="auto"/>
        <w:ind w:firstLine="352" w:firstLineChars="168"/>
        <w:rPr>
          <w:rFonts w:ascii="宋体" w:hAnsi="宋体" w:cs="宋体"/>
          <w:kern w:val="0"/>
          <w:szCs w:val="21"/>
        </w:rPr>
      </w:pPr>
      <w:r>
        <w:rPr>
          <w:kern w:val="0"/>
          <w:szCs w:val="21"/>
        </w:rPr>
        <w:t xml:space="preserve">一、基本要求 </w:t>
      </w:r>
    </w:p>
    <w:p>
      <w:pPr>
        <w:widowControl/>
        <w:snapToGrid w:val="0"/>
        <w:spacing w:line="360" w:lineRule="auto"/>
        <w:ind w:firstLine="352" w:firstLineChars="168"/>
        <w:rPr>
          <w:rFonts w:hint="eastAsia" w:ascii="Verdana" w:hAnsi="Verdana" w:cs="宋体"/>
          <w:kern w:val="0"/>
          <w:szCs w:val="21"/>
        </w:rPr>
      </w:pPr>
      <w:r>
        <w:rPr>
          <w:rFonts w:hint="eastAsia" w:ascii="Verdana" w:hAnsi="Verdana" w:cs="宋体"/>
          <w:kern w:val="0"/>
          <w:szCs w:val="21"/>
        </w:rPr>
        <w:t>对力学、热学、电磁学、光学等四部分的基本概念、原理、定律和基本实验方法有比较全面系统的认识和理解，会应用所学概念、理论和方法解决一定难度的物理问题。</w:t>
      </w:r>
    </w:p>
    <w:p>
      <w:pPr>
        <w:widowControl/>
        <w:snapToGrid w:val="0"/>
        <w:spacing w:line="360" w:lineRule="auto"/>
        <w:ind w:firstLine="352" w:firstLineChars="168"/>
        <w:rPr>
          <w:rFonts w:hint="eastAsia" w:ascii="Verdana" w:hAnsi="Verdana" w:cs="宋体"/>
          <w:kern w:val="0"/>
          <w:szCs w:val="21"/>
        </w:rPr>
      </w:pPr>
    </w:p>
    <w:p>
      <w:pPr>
        <w:widowControl/>
        <w:snapToGrid w:val="0"/>
        <w:spacing w:line="360" w:lineRule="auto"/>
        <w:ind w:firstLine="352" w:firstLineChars="168"/>
        <w:rPr>
          <w:kern w:val="0"/>
          <w:szCs w:val="21"/>
        </w:rPr>
      </w:pPr>
      <w:r>
        <w:rPr>
          <w:kern w:val="0"/>
          <w:szCs w:val="21"/>
        </w:rPr>
        <w:t xml:space="preserve">二、考试范围 </w:t>
      </w:r>
    </w:p>
    <w:p>
      <w:pPr>
        <w:widowControl/>
        <w:snapToGrid w:val="0"/>
        <w:spacing w:line="360" w:lineRule="auto"/>
        <w:ind w:firstLine="352" w:firstLineChars="168"/>
        <w:rPr>
          <w:rFonts w:hint="eastAsia" w:ascii="Verdana" w:hAnsi="Verdana" w:cs="宋体"/>
          <w:kern w:val="0"/>
          <w:szCs w:val="21"/>
        </w:rPr>
      </w:pPr>
      <w:r>
        <w:rPr>
          <w:rFonts w:hint="eastAsia" w:ascii="Verdana" w:hAnsi="Verdana" w:cs="宋体"/>
          <w:kern w:val="0"/>
          <w:szCs w:val="21"/>
        </w:rPr>
        <w:t xml:space="preserve">1. </w:t>
      </w:r>
      <w:r>
        <w:rPr>
          <w:rFonts w:ascii="Verdana" w:hAnsi="Verdana" w:cs="宋体"/>
          <w:kern w:val="0"/>
          <w:szCs w:val="21"/>
        </w:rPr>
        <w:t>力学</w:t>
      </w:r>
    </w:p>
    <w:p>
      <w:pPr>
        <w:widowControl/>
        <w:snapToGrid w:val="0"/>
        <w:spacing w:line="360" w:lineRule="auto"/>
        <w:ind w:firstLine="352" w:firstLineChars="168"/>
        <w:rPr>
          <w:rFonts w:hint="eastAsia" w:ascii="Verdana" w:hAnsi="Verdana" w:cs="宋体"/>
          <w:kern w:val="0"/>
          <w:szCs w:val="21"/>
        </w:rPr>
      </w:pPr>
      <w:r>
        <w:rPr>
          <w:rFonts w:ascii="Verdana" w:hAnsi="Verdana" w:cs="宋体"/>
          <w:kern w:val="0"/>
          <w:szCs w:val="21"/>
        </w:rPr>
        <w:t>（1）</w:t>
      </w:r>
      <w:r>
        <w:rPr>
          <w:rFonts w:hint="eastAsia" w:ascii="Verdana" w:hAnsi="Verdana" w:cs="宋体"/>
          <w:kern w:val="0"/>
          <w:szCs w:val="21"/>
        </w:rPr>
        <w:t>力和运动</w:t>
      </w:r>
      <w:r>
        <w:rPr>
          <w:rFonts w:ascii="Verdana" w:hAnsi="Verdana" w:cs="宋体"/>
          <w:kern w:val="0"/>
          <w:szCs w:val="21"/>
        </w:rPr>
        <w:t>：</w:t>
      </w:r>
      <w:r>
        <w:rPr>
          <w:rFonts w:hint="eastAsia" w:ascii="Verdana" w:hAnsi="Verdana" w:cs="宋体"/>
          <w:kern w:val="0"/>
          <w:szCs w:val="21"/>
        </w:rPr>
        <w:t>直线和平面曲线运动的位置矢量、位移、速度和加速度；圆周和曲线运动的角速度、角加速度、切向和法向加速度；</w:t>
      </w:r>
      <w:r>
        <w:rPr>
          <w:rFonts w:hint="eastAsia" w:ascii="宋体" w:hAnsi="宋体"/>
          <w:szCs w:val="21"/>
        </w:rPr>
        <w:t>惯性参照系；牛顿运动定律；伽利略相对性原理。</w:t>
      </w:r>
    </w:p>
    <w:p>
      <w:pPr>
        <w:widowControl/>
        <w:snapToGrid w:val="0"/>
        <w:spacing w:line="360" w:lineRule="auto"/>
        <w:ind w:firstLine="352" w:firstLineChars="168"/>
        <w:rPr>
          <w:rFonts w:hint="eastAsia" w:ascii="宋体" w:hAnsi="宋体"/>
          <w:szCs w:val="21"/>
        </w:rPr>
      </w:pPr>
      <w:r>
        <w:rPr>
          <w:rFonts w:ascii="Verdana" w:hAnsi="Verdana" w:cs="宋体"/>
          <w:kern w:val="0"/>
          <w:szCs w:val="21"/>
        </w:rPr>
        <w:t>（2）</w:t>
      </w:r>
      <w:r>
        <w:rPr>
          <w:rFonts w:hint="eastAsia" w:ascii="Verdana" w:hAnsi="Verdana" w:cs="宋体"/>
          <w:kern w:val="0"/>
          <w:szCs w:val="21"/>
        </w:rPr>
        <w:t>运动的守恒量和守恒定律</w:t>
      </w:r>
      <w:r>
        <w:rPr>
          <w:rFonts w:ascii="Verdana" w:hAnsi="Verdana" w:cs="宋体"/>
          <w:kern w:val="0"/>
          <w:szCs w:val="21"/>
        </w:rPr>
        <w:t>：</w:t>
      </w:r>
      <w:r>
        <w:rPr>
          <w:rFonts w:hint="eastAsia" w:ascii="宋体" w:hAnsi="宋体"/>
          <w:szCs w:val="21"/>
        </w:rPr>
        <w:t>动量、冲量、动量定理；动量守恒定律；功；功率；质点的动能；弹性势能；重力势能；保守力；功能原理；机械能守恒与转化定律。</w:t>
      </w:r>
    </w:p>
    <w:p>
      <w:pPr>
        <w:widowControl/>
        <w:snapToGrid w:val="0"/>
        <w:spacing w:line="360" w:lineRule="auto"/>
        <w:ind w:firstLine="352" w:firstLineChars="168"/>
        <w:rPr>
          <w:rFonts w:hint="eastAsia" w:ascii="宋体" w:hAnsi="宋体"/>
          <w:szCs w:val="21"/>
        </w:rPr>
      </w:pPr>
      <w:r>
        <w:rPr>
          <w:rFonts w:hint="eastAsia" w:ascii="Verdana" w:hAnsi="Verdana" w:cs="宋体"/>
          <w:kern w:val="0"/>
          <w:szCs w:val="21"/>
        </w:rPr>
        <w:t>（3）</w:t>
      </w:r>
      <w:r>
        <w:rPr>
          <w:rFonts w:hint="eastAsia" w:ascii="宋体" w:hAnsi="宋体"/>
          <w:szCs w:val="21"/>
        </w:rPr>
        <w:t>刚体的运动：角速度矢量；质心；转动惯量；转动动能；转动定律；力矩；力矩的功；定轴转动中的转动动能定律；角动量和冲量矩；角动量定理；角动量守恒定律。</w:t>
      </w:r>
    </w:p>
    <w:p>
      <w:pPr>
        <w:widowControl/>
        <w:snapToGrid w:val="0"/>
        <w:spacing w:line="360" w:lineRule="auto"/>
        <w:ind w:firstLine="352" w:firstLineChars="168"/>
        <w:rPr>
          <w:rFonts w:hint="eastAsia" w:ascii="宋体" w:hAnsi="宋体"/>
          <w:szCs w:val="21"/>
        </w:rPr>
      </w:pPr>
      <w:r>
        <w:rPr>
          <w:rFonts w:hint="eastAsia" w:ascii="Verdana" w:hAnsi="Verdana" w:cs="宋体"/>
          <w:kern w:val="0"/>
          <w:szCs w:val="21"/>
        </w:rPr>
        <w:t>（4）</w:t>
      </w:r>
      <w:r>
        <w:rPr>
          <w:rFonts w:hint="eastAsia" w:ascii="宋体" w:hAnsi="宋体"/>
          <w:szCs w:val="21"/>
        </w:rPr>
        <w:t>机械振动和机械波:简谐振动的基本特征；动力学分析；振动方程；旋转矢量表示法；简谐振动的能量；简谐振动的合成；波的产生与传播；惠更斯原理；平面简谐波的波函数；波的能量传播特征；波的叠加与干涉；驻波；多普勒效应。</w:t>
      </w:r>
    </w:p>
    <w:p>
      <w:pPr>
        <w:widowControl/>
        <w:snapToGrid w:val="0"/>
        <w:spacing w:line="360" w:lineRule="auto"/>
        <w:ind w:firstLine="352" w:firstLineChars="168"/>
        <w:rPr>
          <w:rFonts w:hint="eastAsia" w:ascii="宋体" w:hAnsi="宋体"/>
          <w:szCs w:val="21"/>
        </w:rPr>
      </w:pPr>
    </w:p>
    <w:p>
      <w:pPr>
        <w:widowControl/>
        <w:snapToGrid w:val="0"/>
        <w:spacing w:line="360" w:lineRule="auto"/>
        <w:ind w:firstLine="352" w:firstLineChars="168"/>
        <w:rPr>
          <w:rFonts w:hint="eastAsia" w:ascii="Verdana" w:hAnsi="Verdana" w:cs="宋体"/>
          <w:kern w:val="0"/>
          <w:szCs w:val="21"/>
        </w:rPr>
      </w:pPr>
      <w:r>
        <w:rPr>
          <w:rFonts w:hint="eastAsia" w:ascii="Verdana" w:hAnsi="Verdana" w:cs="宋体"/>
          <w:kern w:val="0"/>
          <w:szCs w:val="21"/>
        </w:rPr>
        <w:t>2. 热</w:t>
      </w:r>
      <w:r>
        <w:rPr>
          <w:rFonts w:ascii="Verdana" w:hAnsi="Verdana" w:cs="宋体"/>
          <w:kern w:val="0"/>
          <w:szCs w:val="21"/>
        </w:rPr>
        <w:t>学</w:t>
      </w:r>
    </w:p>
    <w:p>
      <w:pPr>
        <w:widowControl/>
        <w:snapToGrid w:val="0"/>
        <w:spacing w:line="360" w:lineRule="auto"/>
        <w:ind w:firstLine="352" w:firstLineChars="168"/>
        <w:rPr>
          <w:rFonts w:hint="eastAsia" w:ascii="微软雅黑" w:hAnsi="微软雅黑"/>
          <w:shd w:val="clear" w:color="auto" w:fill="FFFFFF"/>
        </w:rPr>
      </w:pPr>
      <w:r>
        <w:rPr>
          <w:rFonts w:ascii="Verdana" w:hAnsi="Verdana" w:cs="宋体"/>
          <w:kern w:val="0"/>
          <w:szCs w:val="21"/>
        </w:rPr>
        <w:t>（1）</w:t>
      </w:r>
      <w:r>
        <w:rPr>
          <w:rFonts w:hint="eastAsia" w:ascii="Verdana" w:hAnsi="Verdana" w:cs="宋体"/>
          <w:kern w:val="0"/>
          <w:szCs w:val="21"/>
        </w:rPr>
        <w:t>气体动理论：平衡态；</w:t>
      </w:r>
      <w:r>
        <w:rPr>
          <w:rFonts w:ascii="微软雅黑" w:hAnsi="微软雅黑"/>
          <w:shd w:val="clear" w:color="auto" w:fill="FFFFFF"/>
        </w:rPr>
        <w:t>理想气体的物态方程</w:t>
      </w:r>
      <w:r>
        <w:rPr>
          <w:rFonts w:hint="eastAsia" w:ascii="微软雅黑" w:hAnsi="微软雅黑"/>
          <w:shd w:val="clear" w:color="auto" w:fill="FFFFFF"/>
        </w:rPr>
        <w:t>；</w:t>
      </w:r>
      <w:r>
        <w:rPr>
          <w:rFonts w:ascii="微软雅黑" w:hAnsi="微软雅黑"/>
          <w:shd w:val="clear" w:color="auto" w:fill="FFFFFF"/>
        </w:rPr>
        <w:t>理想气体的压强和温度公式</w:t>
      </w:r>
      <w:r>
        <w:rPr>
          <w:rFonts w:hint="eastAsia" w:ascii="微软雅黑" w:hAnsi="微软雅黑"/>
          <w:shd w:val="clear" w:color="auto" w:fill="FFFFFF"/>
        </w:rPr>
        <w:t>；</w:t>
      </w:r>
      <w:r>
        <w:rPr>
          <w:rFonts w:ascii="微软雅黑" w:hAnsi="微软雅黑"/>
          <w:shd w:val="clear" w:color="auto" w:fill="FFFFFF"/>
        </w:rPr>
        <w:t>能量均分定理</w:t>
      </w:r>
      <w:r>
        <w:rPr>
          <w:rFonts w:hint="eastAsia" w:ascii="微软雅黑" w:hAnsi="微软雅黑"/>
          <w:shd w:val="clear" w:color="auto" w:fill="FFFFFF"/>
        </w:rPr>
        <w:t>；</w:t>
      </w:r>
      <w:r>
        <w:rPr>
          <w:rFonts w:ascii="微软雅黑" w:hAnsi="微软雅黑"/>
          <w:shd w:val="clear" w:color="auto" w:fill="FFFFFF"/>
        </w:rPr>
        <w:t>理想气体的内能</w:t>
      </w:r>
      <w:r>
        <w:rPr>
          <w:rFonts w:hint="eastAsia" w:ascii="微软雅黑" w:hAnsi="微软雅黑"/>
          <w:shd w:val="clear" w:color="auto" w:fill="FFFFFF"/>
        </w:rPr>
        <w:t>；</w:t>
      </w:r>
      <w:r>
        <w:rPr>
          <w:rFonts w:ascii="微软雅黑" w:hAnsi="微软雅黑"/>
          <w:shd w:val="clear" w:color="auto" w:fill="FFFFFF"/>
        </w:rPr>
        <w:t>麦克斯韦速率分布律</w:t>
      </w:r>
      <w:r>
        <w:rPr>
          <w:rFonts w:hint="eastAsia" w:ascii="微软雅黑" w:hAnsi="微软雅黑"/>
          <w:shd w:val="clear" w:color="auto" w:fill="FFFFFF"/>
        </w:rPr>
        <w:t>；气体分子的平均碰撞频率和平均自由程</w:t>
      </w:r>
    </w:p>
    <w:p>
      <w:pPr>
        <w:widowControl/>
        <w:snapToGrid w:val="0"/>
        <w:spacing w:line="360" w:lineRule="auto"/>
        <w:ind w:firstLine="352" w:firstLineChars="168"/>
        <w:rPr>
          <w:rFonts w:hint="eastAsia" w:ascii="Verdana" w:hAnsi="Verdana" w:cs="宋体"/>
          <w:kern w:val="0"/>
          <w:szCs w:val="21"/>
        </w:rPr>
      </w:pPr>
      <w:r>
        <w:rPr>
          <w:rFonts w:ascii="Verdana" w:hAnsi="Verdana" w:cs="宋体"/>
          <w:kern w:val="0"/>
          <w:szCs w:val="21"/>
        </w:rPr>
        <w:t>（</w:t>
      </w:r>
      <w:r>
        <w:rPr>
          <w:rFonts w:hint="eastAsia" w:ascii="Verdana" w:hAnsi="Verdana" w:cs="宋体"/>
          <w:kern w:val="0"/>
          <w:szCs w:val="21"/>
        </w:rPr>
        <w:t>2</w:t>
      </w:r>
      <w:r>
        <w:rPr>
          <w:rFonts w:ascii="Verdana" w:hAnsi="Verdana" w:cs="宋体"/>
          <w:kern w:val="0"/>
          <w:szCs w:val="21"/>
        </w:rPr>
        <w:t>）</w:t>
      </w:r>
      <w:r>
        <w:rPr>
          <w:rFonts w:hint="eastAsia" w:ascii="Verdana" w:hAnsi="Verdana" w:cs="宋体"/>
          <w:kern w:val="0"/>
          <w:szCs w:val="21"/>
        </w:rPr>
        <w:t>热力学基础：准静态过程；热力学第零定律；热力学第一定律；摩尔热容；绝热过程；循环过程；卡诺循环；可逆不可逆过程；卡诺定理；热力学第二定律；熵增加原理及其玻尔兹曼表达式。</w:t>
      </w:r>
    </w:p>
    <w:p>
      <w:pPr>
        <w:widowControl/>
        <w:snapToGrid w:val="0"/>
        <w:spacing w:line="360" w:lineRule="auto"/>
        <w:ind w:firstLine="352" w:firstLineChars="168"/>
        <w:rPr>
          <w:rFonts w:hint="eastAsia" w:ascii="宋体" w:hAnsi="宋体"/>
          <w:szCs w:val="21"/>
        </w:rPr>
      </w:pPr>
    </w:p>
    <w:p>
      <w:pPr>
        <w:widowControl/>
        <w:snapToGrid w:val="0"/>
        <w:spacing w:line="360" w:lineRule="auto"/>
        <w:ind w:firstLine="352" w:firstLineChars="168"/>
        <w:rPr>
          <w:rFonts w:hint="eastAsia" w:ascii="Verdana" w:hAnsi="Verdana" w:cs="宋体"/>
          <w:kern w:val="0"/>
          <w:szCs w:val="21"/>
        </w:rPr>
      </w:pPr>
      <w:r>
        <w:rPr>
          <w:rFonts w:hint="eastAsia" w:ascii="Verdana" w:hAnsi="Verdana" w:cs="宋体"/>
          <w:kern w:val="0"/>
          <w:szCs w:val="21"/>
        </w:rPr>
        <w:t xml:space="preserve">3. </w:t>
      </w:r>
      <w:r>
        <w:rPr>
          <w:rFonts w:ascii="Verdana" w:hAnsi="Verdana" w:cs="宋体"/>
          <w:kern w:val="0"/>
          <w:szCs w:val="21"/>
        </w:rPr>
        <w:t>电磁学</w:t>
      </w:r>
    </w:p>
    <w:p>
      <w:pPr>
        <w:widowControl/>
        <w:snapToGrid w:val="0"/>
        <w:spacing w:line="360" w:lineRule="auto"/>
        <w:ind w:firstLine="352" w:firstLineChars="168"/>
        <w:rPr>
          <w:rFonts w:ascii="Verdana" w:hAnsi="Verdana" w:cs="宋体"/>
          <w:kern w:val="0"/>
          <w:szCs w:val="21"/>
        </w:rPr>
      </w:pPr>
      <w:r>
        <w:rPr>
          <w:rFonts w:ascii="Verdana" w:hAnsi="Verdana" w:cs="宋体"/>
          <w:kern w:val="0"/>
          <w:szCs w:val="21"/>
        </w:rPr>
        <w:t>（1）</w:t>
      </w:r>
      <w:r>
        <w:rPr>
          <w:rFonts w:hint="eastAsia" w:ascii="Verdana" w:hAnsi="Verdana" w:cs="宋体"/>
          <w:kern w:val="0"/>
          <w:szCs w:val="21"/>
        </w:rPr>
        <w:t>静止电荷的</w:t>
      </w:r>
      <w:r>
        <w:rPr>
          <w:rFonts w:ascii="Verdana" w:hAnsi="Verdana" w:cs="宋体"/>
          <w:kern w:val="0"/>
          <w:szCs w:val="21"/>
        </w:rPr>
        <w:t>电场：静电场的电场强度、电势及二者的关系</w:t>
      </w:r>
      <w:r>
        <w:rPr>
          <w:rFonts w:hint="eastAsia" w:ascii="Verdana" w:hAnsi="Verdana" w:cs="宋体"/>
          <w:kern w:val="0"/>
          <w:szCs w:val="21"/>
        </w:rPr>
        <w:t>；</w:t>
      </w:r>
      <w:r>
        <w:rPr>
          <w:rFonts w:ascii="Verdana" w:hAnsi="Verdana" w:cs="宋体"/>
          <w:kern w:val="0"/>
          <w:szCs w:val="21"/>
        </w:rPr>
        <w:t>场强与电势的叠加原理</w:t>
      </w:r>
      <w:r>
        <w:rPr>
          <w:rFonts w:hint="eastAsia" w:ascii="Verdana" w:hAnsi="Verdana" w:cs="宋体"/>
          <w:kern w:val="0"/>
          <w:szCs w:val="21"/>
        </w:rPr>
        <w:t>；</w:t>
      </w:r>
      <w:r>
        <w:rPr>
          <w:rFonts w:ascii="Verdana" w:hAnsi="Verdana" w:cs="宋体"/>
          <w:kern w:val="0"/>
          <w:szCs w:val="21"/>
        </w:rPr>
        <w:t>高斯定理</w:t>
      </w:r>
      <w:r>
        <w:rPr>
          <w:rFonts w:hint="eastAsia" w:ascii="Verdana" w:hAnsi="Verdana" w:cs="宋体"/>
          <w:kern w:val="0"/>
          <w:szCs w:val="21"/>
        </w:rPr>
        <w:t>；</w:t>
      </w:r>
      <w:r>
        <w:rPr>
          <w:rFonts w:ascii="Verdana" w:hAnsi="Verdana" w:cs="宋体"/>
          <w:kern w:val="0"/>
          <w:szCs w:val="21"/>
        </w:rPr>
        <w:t>环路定理</w:t>
      </w:r>
      <w:r>
        <w:rPr>
          <w:rFonts w:hint="eastAsia" w:ascii="Verdana" w:hAnsi="Verdana" w:cs="宋体"/>
          <w:kern w:val="0"/>
          <w:szCs w:val="21"/>
        </w:rPr>
        <w:t>；</w:t>
      </w:r>
      <w:r>
        <w:rPr>
          <w:rFonts w:ascii="Verdana" w:hAnsi="Verdana" w:cs="宋体"/>
          <w:kern w:val="0"/>
          <w:szCs w:val="21"/>
        </w:rPr>
        <w:t>导体的静电平衡问题</w:t>
      </w:r>
      <w:r>
        <w:rPr>
          <w:rFonts w:hint="eastAsia" w:ascii="Verdana" w:hAnsi="Verdana" w:cs="宋体"/>
          <w:kern w:val="0"/>
          <w:szCs w:val="21"/>
        </w:rPr>
        <w:t>；</w:t>
      </w:r>
      <w:r>
        <w:rPr>
          <w:rFonts w:ascii="Verdana" w:hAnsi="Verdana" w:cs="宋体"/>
          <w:kern w:val="0"/>
          <w:szCs w:val="21"/>
        </w:rPr>
        <w:t>电介质的极化现象</w:t>
      </w:r>
      <w:r>
        <w:rPr>
          <w:rFonts w:hint="eastAsia" w:ascii="Verdana" w:hAnsi="Verdana" w:cs="宋体"/>
          <w:kern w:val="0"/>
          <w:szCs w:val="21"/>
        </w:rPr>
        <w:t>；</w:t>
      </w:r>
      <w:r>
        <w:rPr>
          <w:rFonts w:ascii="Verdana" w:hAnsi="Verdana" w:cs="宋体"/>
          <w:kern w:val="0"/>
          <w:szCs w:val="21"/>
        </w:rPr>
        <w:t>各向同性介质中的D与E的关系与区别</w:t>
      </w:r>
      <w:r>
        <w:rPr>
          <w:rFonts w:hint="eastAsia" w:ascii="Verdana" w:hAnsi="Verdana" w:cs="宋体"/>
          <w:kern w:val="0"/>
          <w:szCs w:val="21"/>
        </w:rPr>
        <w:t>；</w:t>
      </w:r>
      <w:r>
        <w:rPr>
          <w:rFonts w:ascii="Verdana" w:hAnsi="Verdana" w:cs="宋体"/>
          <w:kern w:val="0"/>
          <w:szCs w:val="21"/>
        </w:rPr>
        <w:t>电容、静电场能量。</w:t>
      </w:r>
    </w:p>
    <w:p>
      <w:pPr>
        <w:widowControl/>
        <w:snapToGrid w:val="0"/>
        <w:spacing w:line="360" w:lineRule="auto"/>
        <w:ind w:firstLine="352" w:firstLineChars="168"/>
        <w:rPr>
          <w:rFonts w:hint="eastAsia" w:ascii="Verdana" w:hAnsi="Verdana" w:cs="宋体"/>
          <w:kern w:val="0"/>
          <w:szCs w:val="21"/>
        </w:rPr>
      </w:pPr>
      <w:r>
        <w:rPr>
          <w:rFonts w:ascii="Verdana" w:hAnsi="Verdana" w:cs="宋体"/>
          <w:kern w:val="0"/>
          <w:szCs w:val="21"/>
        </w:rPr>
        <w:t>（2）</w:t>
      </w:r>
      <w:r>
        <w:rPr>
          <w:rFonts w:hint="eastAsia" w:ascii="Verdana" w:hAnsi="Verdana" w:cs="宋体"/>
          <w:kern w:val="0"/>
          <w:szCs w:val="21"/>
        </w:rPr>
        <w:t>恒定</w:t>
      </w:r>
      <w:r>
        <w:rPr>
          <w:rFonts w:ascii="Verdana" w:hAnsi="Verdana" w:cs="宋体"/>
          <w:kern w:val="0"/>
          <w:szCs w:val="21"/>
        </w:rPr>
        <w:t>电流的磁场：</w:t>
      </w:r>
      <w:r>
        <w:rPr>
          <w:rFonts w:hint="eastAsia" w:ascii="Verdana" w:hAnsi="Verdana" w:cs="宋体"/>
          <w:kern w:val="0"/>
          <w:szCs w:val="21"/>
        </w:rPr>
        <w:t>恒定电流、电流密度和电动势；</w:t>
      </w:r>
      <w:r>
        <w:rPr>
          <w:rFonts w:ascii="Verdana" w:hAnsi="Verdana" w:cs="宋体"/>
          <w:kern w:val="0"/>
          <w:szCs w:val="21"/>
        </w:rPr>
        <w:t>磁感应强度矢量</w:t>
      </w:r>
      <w:r>
        <w:rPr>
          <w:rFonts w:hint="eastAsia" w:ascii="Verdana" w:hAnsi="Verdana" w:cs="宋体"/>
          <w:kern w:val="0"/>
          <w:szCs w:val="21"/>
        </w:rPr>
        <w:t>；</w:t>
      </w:r>
      <w:r>
        <w:rPr>
          <w:rFonts w:ascii="Verdana" w:hAnsi="Verdana" w:cs="宋体"/>
          <w:kern w:val="0"/>
          <w:szCs w:val="21"/>
        </w:rPr>
        <w:t>磁场的叠加原理</w:t>
      </w:r>
      <w:r>
        <w:rPr>
          <w:rFonts w:hint="eastAsia" w:ascii="Verdana" w:hAnsi="Verdana" w:cs="宋体"/>
          <w:kern w:val="0"/>
          <w:szCs w:val="21"/>
        </w:rPr>
        <w:t>；</w:t>
      </w:r>
      <w:r>
        <w:rPr>
          <w:rFonts w:ascii="Verdana" w:hAnsi="Verdana" w:cs="宋体"/>
          <w:kern w:val="0"/>
          <w:szCs w:val="21"/>
        </w:rPr>
        <w:t>毕奥——萨伐尔定律及应用</w:t>
      </w:r>
      <w:r>
        <w:rPr>
          <w:rFonts w:hint="eastAsia" w:ascii="Verdana" w:hAnsi="Verdana" w:cs="宋体"/>
          <w:kern w:val="0"/>
          <w:szCs w:val="21"/>
        </w:rPr>
        <w:t>；</w:t>
      </w:r>
      <w:r>
        <w:rPr>
          <w:rFonts w:ascii="Verdana" w:hAnsi="Verdana" w:cs="宋体"/>
          <w:kern w:val="0"/>
          <w:szCs w:val="21"/>
        </w:rPr>
        <w:t>磁场的高斯定理、安培环路定理及应用</w:t>
      </w:r>
      <w:r>
        <w:rPr>
          <w:rFonts w:hint="eastAsia" w:ascii="Verdana" w:hAnsi="Verdana" w:cs="宋体"/>
          <w:kern w:val="0"/>
          <w:szCs w:val="21"/>
        </w:rPr>
        <w:t>；</w:t>
      </w:r>
      <w:r>
        <w:rPr>
          <w:rFonts w:ascii="Verdana" w:hAnsi="Verdana" w:cs="宋体"/>
          <w:kern w:val="0"/>
          <w:szCs w:val="21"/>
        </w:rPr>
        <w:t>磁场对载流导体的作用</w:t>
      </w:r>
      <w:r>
        <w:rPr>
          <w:rFonts w:hint="eastAsia" w:ascii="Verdana" w:hAnsi="Verdana" w:cs="宋体"/>
          <w:kern w:val="0"/>
          <w:szCs w:val="21"/>
        </w:rPr>
        <w:t>；</w:t>
      </w:r>
      <w:r>
        <w:rPr>
          <w:rFonts w:ascii="Verdana" w:hAnsi="Verdana" w:cs="宋体"/>
          <w:kern w:val="0"/>
          <w:szCs w:val="21"/>
        </w:rPr>
        <w:t>安培定律</w:t>
      </w:r>
      <w:r>
        <w:rPr>
          <w:rFonts w:hint="eastAsia" w:ascii="Verdana" w:hAnsi="Verdana" w:cs="宋体"/>
          <w:kern w:val="0"/>
          <w:szCs w:val="21"/>
        </w:rPr>
        <w:t>；</w:t>
      </w:r>
      <w:r>
        <w:rPr>
          <w:rFonts w:ascii="Verdana" w:hAnsi="Verdana" w:cs="宋体"/>
          <w:kern w:val="0"/>
          <w:szCs w:val="21"/>
        </w:rPr>
        <w:t>载流线圈的磁场及在外磁场中所受的力矩</w:t>
      </w:r>
      <w:r>
        <w:rPr>
          <w:rFonts w:hint="eastAsia" w:ascii="Verdana" w:hAnsi="Verdana" w:cs="宋体"/>
          <w:kern w:val="0"/>
          <w:szCs w:val="21"/>
        </w:rPr>
        <w:t>；有磁介质时的安培环路定理；</w:t>
      </w:r>
      <w:r>
        <w:rPr>
          <w:rFonts w:ascii="Verdana" w:hAnsi="Verdana" w:cs="宋体"/>
          <w:kern w:val="0"/>
          <w:szCs w:val="21"/>
        </w:rPr>
        <w:t>运动电荷的磁场、洛仑兹力。</w:t>
      </w:r>
    </w:p>
    <w:p>
      <w:pPr>
        <w:widowControl/>
        <w:snapToGrid w:val="0"/>
        <w:spacing w:line="360" w:lineRule="auto"/>
        <w:ind w:firstLine="352" w:firstLineChars="168"/>
        <w:rPr>
          <w:rFonts w:hint="eastAsia" w:ascii="Verdana" w:hAnsi="Verdana" w:cs="宋体"/>
          <w:kern w:val="0"/>
          <w:szCs w:val="21"/>
        </w:rPr>
      </w:pPr>
      <w:r>
        <w:rPr>
          <w:rFonts w:ascii="Verdana" w:hAnsi="Verdana" w:cs="宋体"/>
          <w:kern w:val="0"/>
          <w:szCs w:val="21"/>
        </w:rPr>
        <w:t>（3）电磁感应</w:t>
      </w:r>
      <w:r>
        <w:rPr>
          <w:rFonts w:hint="eastAsia" w:ascii="Verdana" w:hAnsi="Verdana" w:cs="宋体"/>
          <w:kern w:val="0"/>
          <w:szCs w:val="21"/>
        </w:rPr>
        <w:t>及电磁场理论</w:t>
      </w:r>
      <w:r>
        <w:rPr>
          <w:rFonts w:ascii="Verdana" w:hAnsi="Verdana" w:cs="宋体"/>
          <w:kern w:val="0"/>
          <w:szCs w:val="21"/>
        </w:rPr>
        <w:t>：法拉第电磁感应定律</w:t>
      </w:r>
      <w:r>
        <w:rPr>
          <w:rFonts w:hint="eastAsia" w:ascii="Verdana" w:hAnsi="Verdana" w:cs="宋体"/>
          <w:kern w:val="0"/>
          <w:szCs w:val="21"/>
        </w:rPr>
        <w:t>；</w:t>
      </w:r>
      <w:r>
        <w:rPr>
          <w:rFonts w:ascii="Verdana" w:hAnsi="Verdana" w:cs="宋体"/>
          <w:kern w:val="0"/>
          <w:szCs w:val="21"/>
        </w:rPr>
        <w:t>楞次定律</w:t>
      </w:r>
      <w:r>
        <w:rPr>
          <w:rFonts w:hint="eastAsia" w:ascii="Verdana" w:hAnsi="Verdana" w:cs="宋体"/>
          <w:kern w:val="0"/>
          <w:szCs w:val="21"/>
        </w:rPr>
        <w:t>；</w:t>
      </w:r>
      <w:r>
        <w:rPr>
          <w:rFonts w:ascii="Verdana" w:hAnsi="Verdana" w:cs="宋体"/>
          <w:kern w:val="0"/>
          <w:szCs w:val="21"/>
        </w:rPr>
        <w:t>动生电动势</w:t>
      </w:r>
      <w:r>
        <w:rPr>
          <w:rFonts w:hint="eastAsia" w:ascii="Verdana" w:hAnsi="Verdana" w:cs="宋体"/>
          <w:kern w:val="0"/>
          <w:szCs w:val="21"/>
        </w:rPr>
        <w:t>；</w:t>
      </w:r>
      <w:r>
        <w:rPr>
          <w:rFonts w:ascii="Verdana" w:hAnsi="Verdana" w:cs="宋体"/>
          <w:kern w:val="0"/>
          <w:szCs w:val="21"/>
        </w:rPr>
        <w:t>自感、互感、自感磁能</w:t>
      </w:r>
      <w:r>
        <w:rPr>
          <w:rFonts w:hint="eastAsia" w:ascii="Verdana" w:hAnsi="Verdana" w:cs="宋体"/>
          <w:kern w:val="0"/>
          <w:szCs w:val="21"/>
        </w:rPr>
        <w:t>；</w:t>
      </w:r>
      <w:r>
        <w:rPr>
          <w:rFonts w:ascii="Verdana" w:hAnsi="Verdana" w:cs="宋体"/>
          <w:kern w:val="0"/>
          <w:szCs w:val="21"/>
        </w:rPr>
        <w:t>互感磁能</w:t>
      </w:r>
      <w:r>
        <w:rPr>
          <w:rFonts w:hint="eastAsia" w:ascii="Verdana" w:hAnsi="Verdana" w:cs="宋体"/>
          <w:kern w:val="0"/>
          <w:szCs w:val="21"/>
        </w:rPr>
        <w:t>；</w:t>
      </w:r>
      <w:r>
        <w:rPr>
          <w:rFonts w:ascii="Verdana" w:hAnsi="Verdana" w:cs="宋体"/>
          <w:kern w:val="0"/>
          <w:szCs w:val="21"/>
        </w:rPr>
        <w:t>磁场能量</w:t>
      </w:r>
      <w:r>
        <w:rPr>
          <w:rFonts w:hint="eastAsia" w:ascii="Verdana" w:hAnsi="Verdana" w:cs="宋体"/>
          <w:kern w:val="0"/>
          <w:szCs w:val="21"/>
        </w:rPr>
        <w:t>；</w:t>
      </w:r>
      <w:r>
        <w:rPr>
          <w:rFonts w:ascii="Verdana" w:hAnsi="Verdana" w:cs="宋体"/>
          <w:kern w:val="0"/>
          <w:szCs w:val="21"/>
        </w:rPr>
        <w:t>位移电流</w:t>
      </w:r>
      <w:r>
        <w:rPr>
          <w:rFonts w:hint="eastAsia" w:ascii="Verdana" w:hAnsi="Verdana" w:cs="宋体"/>
          <w:kern w:val="0"/>
          <w:szCs w:val="21"/>
        </w:rPr>
        <w:t>；</w:t>
      </w:r>
      <w:r>
        <w:rPr>
          <w:rFonts w:ascii="Verdana" w:hAnsi="Verdana" w:cs="宋体"/>
          <w:kern w:val="0"/>
          <w:szCs w:val="21"/>
        </w:rPr>
        <w:t>麦氏方程组</w:t>
      </w:r>
      <w:r>
        <w:rPr>
          <w:rFonts w:hint="eastAsia" w:ascii="Verdana" w:hAnsi="Verdana" w:cs="宋体"/>
          <w:kern w:val="0"/>
          <w:szCs w:val="21"/>
        </w:rPr>
        <w:t>；</w:t>
      </w:r>
      <w:r>
        <w:rPr>
          <w:rFonts w:ascii="Verdana" w:hAnsi="Verdana" w:cs="宋体"/>
          <w:kern w:val="0"/>
          <w:szCs w:val="21"/>
        </w:rPr>
        <w:t>电磁波的产生与传播</w:t>
      </w:r>
      <w:r>
        <w:rPr>
          <w:rFonts w:hint="eastAsia" w:ascii="Verdana" w:hAnsi="Verdana" w:cs="宋体"/>
          <w:kern w:val="0"/>
          <w:szCs w:val="21"/>
        </w:rPr>
        <w:t>；</w:t>
      </w:r>
      <w:r>
        <w:rPr>
          <w:rFonts w:ascii="Verdana" w:hAnsi="Verdana" w:cs="宋体"/>
          <w:kern w:val="0"/>
          <w:szCs w:val="21"/>
        </w:rPr>
        <w:t>电磁波的基本性质</w:t>
      </w:r>
      <w:r>
        <w:rPr>
          <w:rFonts w:hint="eastAsia" w:ascii="Verdana" w:hAnsi="Verdana" w:cs="宋体"/>
          <w:kern w:val="0"/>
          <w:szCs w:val="21"/>
        </w:rPr>
        <w:t>；</w:t>
      </w:r>
      <w:r>
        <w:rPr>
          <w:rFonts w:ascii="Verdana" w:hAnsi="Verdana" w:cs="宋体"/>
          <w:kern w:val="0"/>
          <w:szCs w:val="21"/>
        </w:rPr>
        <w:t>电磁波的能流密度。</w:t>
      </w:r>
    </w:p>
    <w:p>
      <w:pPr>
        <w:widowControl/>
        <w:snapToGrid w:val="0"/>
        <w:spacing w:line="360" w:lineRule="auto"/>
        <w:ind w:firstLine="352" w:firstLineChars="168"/>
        <w:rPr>
          <w:rFonts w:ascii="Verdana" w:hAnsi="Verdana" w:cs="宋体"/>
          <w:kern w:val="0"/>
          <w:szCs w:val="21"/>
        </w:rPr>
      </w:pPr>
    </w:p>
    <w:p>
      <w:pPr>
        <w:widowControl/>
        <w:snapToGrid w:val="0"/>
        <w:spacing w:line="360" w:lineRule="auto"/>
        <w:ind w:firstLine="352" w:firstLineChars="168"/>
        <w:rPr>
          <w:rFonts w:ascii="Verdana" w:hAnsi="Verdana" w:cs="宋体"/>
          <w:kern w:val="0"/>
          <w:szCs w:val="21"/>
        </w:rPr>
      </w:pPr>
      <w:r>
        <w:rPr>
          <w:rFonts w:hint="eastAsia" w:ascii="Verdana" w:hAnsi="Verdana" w:cs="宋体"/>
          <w:kern w:val="0"/>
          <w:szCs w:val="21"/>
        </w:rPr>
        <w:t xml:space="preserve">4. </w:t>
      </w:r>
      <w:r>
        <w:rPr>
          <w:rFonts w:ascii="Verdana" w:hAnsi="Verdana" w:cs="宋体"/>
          <w:kern w:val="0"/>
          <w:szCs w:val="21"/>
        </w:rPr>
        <w:t>光学</w:t>
      </w:r>
    </w:p>
    <w:p>
      <w:pPr>
        <w:widowControl/>
        <w:snapToGrid w:val="0"/>
        <w:spacing w:line="360" w:lineRule="auto"/>
        <w:ind w:firstLine="352" w:firstLineChars="168"/>
        <w:rPr>
          <w:rFonts w:hint="eastAsia" w:ascii="Verdana" w:hAnsi="Verdana" w:cs="宋体"/>
          <w:kern w:val="0"/>
          <w:szCs w:val="21"/>
        </w:rPr>
      </w:pPr>
      <w:r>
        <w:rPr>
          <w:rFonts w:ascii="Verdana" w:hAnsi="Verdana" w:cs="宋体"/>
          <w:kern w:val="0"/>
          <w:szCs w:val="21"/>
        </w:rPr>
        <w:t>（1）光的干涉：相干光</w:t>
      </w:r>
      <w:r>
        <w:rPr>
          <w:rFonts w:hint="eastAsia" w:ascii="Verdana" w:hAnsi="Verdana" w:cs="宋体"/>
          <w:kern w:val="0"/>
          <w:szCs w:val="21"/>
        </w:rPr>
        <w:t>；</w:t>
      </w:r>
      <w:r>
        <w:rPr>
          <w:rFonts w:ascii="Verdana" w:hAnsi="Verdana" w:cs="宋体"/>
          <w:kern w:val="0"/>
          <w:szCs w:val="21"/>
        </w:rPr>
        <w:t>光程</w:t>
      </w:r>
      <w:r>
        <w:rPr>
          <w:rFonts w:hint="eastAsia" w:ascii="Verdana" w:hAnsi="Verdana" w:cs="宋体"/>
          <w:kern w:val="0"/>
          <w:szCs w:val="21"/>
        </w:rPr>
        <w:t>；</w:t>
      </w:r>
      <w:r>
        <w:rPr>
          <w:rFonts w:ascii="Verdana" w:hAnsi="Verdana" w:cs="宋体"/>
          <w:kern w:val="0"/>
          <w:szCs w:val="21"/>
        </w:rPr>
        <w:t>光程差与位相差</w:t>
      </w:r>
      <w:r>
        <w:rPr>
          <w:rFonts w:hint="eastAsia" w:ascii="Verdana" w:hAnsi="Verdana" w:cs="宋体"/>
          <w:kern w:val="0"/>
          <w:szCs w:val="21"/>
        </w:rPr>
        <w:t>；</w:t>
      </w:r>
      <w:r>
        <w:rPr>
          <w:rFonts w:ascii="Verdana" w:hAnsi="Verdana" w:cs="宋体"/>
          <w:kern w:val="0"/>
          <w:szCs w:val="21"/>
        </w:rPr>
        <w:t>杨氏双缝干涉</w:t>
      </w:r>
      <w:r>
        <w:rPr>
          <w:rFonts w:hint="eastAsia" w:ascii="Verdana" w:hAnsi="Verdana" w:cs="宋体"/>
          <w:kern w:val="0"/>
          <w:szCs w:val="21"/>
        </w:rPr>
        <w:t>；</w:t>
      </w:r>
      <w:r>
        <w:rPr>
          <w:rFonts w:ascii="Verdana" w:hAnsi="Verdana" w:cs="宋体"/>
          <w:kern w:val="0"/>
          <w:szCs w:val="21"/>
        </w:rPr>
        <w:t>薄膜等厚干涉</w:t>
      </w:r>
      <w:r>
        <w:rPr>
          <w:rFonts w:hint="eastAsia" w:ascii="Verdana" w:hAnsi="Verdana" w:cs="宋体"/>
          <w:kern w:val="0"/>
          <w:szCs w:val="21"/>
        </w:rPr>
        <w:t>；</w:t>
      </w:r>
      <w:r>
        <w:rPr>
          <w:rFonts w:ascii="Verdana" w:hAnsi="Verdana" w:cs="宋体"/>
          <w:kern w:val="0"/>
          <w:szCs w:val="21"/>
        </w:rPr>
        <w:t>麦克耳逊干涉仪的工作原理及应用。</w:t>
      </w:r>
    </w:p>
    <w:p>
      <w:pPr>
        <w:widowControl/>
        <w:snapToGrid w:val="0"/>
        <w:spacing w:line="360" w:lineRule="auto"/>
        <w:ind w:firstLine="352" w:firstLineChars="168"/>
        <w:rPr>
          <w:rFonts w:hint="eastAsia" w:ascii="Verdana" w:hAnsi="Verdana" w:cs="宋体"/>
          <w:kern w:val="0"/>
          <w:szCs w:val="21"/>
        </w:rPr>
      </w:pPr>
      <w:r>
        <w:rPr>
          <w:rFonts w:ascii="Verdana" w:hAnsi="Verdana" w:cs="宋体"/>
          <w:kern w:val="0"/>
          <w:szCs w:val="21"/>
        </w:rPr>
        <w:t>（</w:t>
      </w:r>
      <w:r>
        <w:rPr>
          <w:rFonts w:hint="eastAsia" w:ascii="Verdana" w:hAnsi="Verdana" w:cs="宋体"/>
          <w:kern w:val="0"/>
          <w:szCs w:val="21"/>
        </w:rPr>
        <w:t>2</w:t>
      </w:r>
      <w:r>
        <w:rPr>
          <w:rFonts w:ascii="Verdana" w:hAnsi="Verdana" w:cs="宋体"/>
          <w:kern w:val="0"/>
          <w:szCs w:val="21"/>
        </w:rPr>
        <w:t>）光的衍射：惠更斯—菲涅尔原理</w:t>
      </w:r>
      <w:r>
        <w:rPr>
          <w:rFonts w:hint="eastAsia" w:ascii="Verdana" w:hAnsi="Verdana" w:cs="宋体"/>
          <w:kern w:val="0"/>
          <w:szCs w:val="21"/>
        </w:rPr>
        <w:t>；</w:t>
      </w:r>
      <w:r>
        <w:rPr>
          <w:rFonts w:ascii="Verdana" w:hAnsi="Verdana" w:cs="宋体"/>
          <w:kern w:val="0"/>
          <w:szCs w:val="21"/>
        </w:rPr>
        <w:t>单缝的夫琅和费衍射</w:t>
      </w:r>
      <w:r>
        <w:rPr>
          <w:rFonts w:hint="eastAsia" w:ascii="Verdana" w:hAnsi="Verdana" w:cs="宋体"/>
          <w:kern w:val="0"/>
          <w:szCs w:val="21"/>
        </w:rPr>
        <w:t>；</w:t>
      </w:r>
      <w:r>
        <w:rPr>
          <w:rFonts w:ascii="Verdana" w:hAnsi="Verdana" w:cs="宋体"/>
          <w:kern w:val="0"/>
          <w:szCs w:val="21"/>
        </w:rPr>
        <w:t>光珊衍射</w:t>
      </w:r>
      <w:r>
        <w:rPr>
          <w:rFonts w:hint="eastAsia" w:ascii="Verdana" w:hAnsi="Verdana" w:cs="宋体"/>
          <w:kern w:val="0"/>
          <w:szCs w:val="21"/>
        </w:rPr>
        <w:t>；光学仪器分辨本领；x射线衍射。</w:t>
      </w:r>
    </w:p>
    <w:p>
      <w:pPr>
        <w:widowControl/>
        <w:snapToGrid w:val="0"/>
        <w:spacing w:line="360" w:lineRule="auto"/>
        <w:ind w:firstLine="352" w:firstLineChars="168"/>
        <w:rPr>
          <w:rFonts w:hint="eastAsia" w:ascii="Verdana" w:hAnsi="Verdana" w:cs="宋体"/>
          <w:kern w:val="0"/>
          <w:szCs w:val="21"/>
        </w:rPr>
      </w:pPr>
      <w:r>
        <w:rPr>
          <w:rFonts w:ascii="Verdana" w:hAnsi="Verdana" w:cs="宋体"/>
          <w:kern w:val="0"/>
          <w:szCs w:val="21"/>
        </w:rPr>
        <w:t>（</w:t>
      </w:r>
      <w:r>
        <w:rPr>
          <w:rFonts w:hint="eastAsia" w:ascii="Verdana" w:hAnsi="Verdana" w:cs="宋体"/>
          <w:kern w:val="0"/>
          <w:szCs w:val="21"/>
        </w:rPr>
        <w:t>3</w:t>
      </w:r>
      <w:r>
        <w:rPr>
          <w:rFonts w:ascii="Verdana" w:hAnsi="Verdana" w:cs="宋体"/>
          <w:kern w:val="0"/>
          <w:szCs w:val="21"/>
        </w:rPr>
        <w:t>）光的偏振：自然光与线偏振光</w:t>
      </w:r>
      <w:r>
        <w:rPr>
          <w:rFonts w:hint="eastAsia" w:ascii="Verdana" w:hAnsi="Verdana" w:cs="宋体"/>
          <w:kern w:val="0"/>
          <w:szCs w:val="21"/>
        </w:rPr>
        <w:t>；</w:t>
      </w:r>
      <w:r>
        <w:rPr>
          <w:rFonts w:ascii="Verdana" w:hAnsi="Verdana" w:cs="宋体"/>
          <w:kern w:val="0"/>
          <w:szCs w:val="21"/>
        </w:rPr>
        <w:t>布儒斯特定律</w:t>
      </w:r>
      <w:r>
        <w:rPr>
          <w:rFonts w:hint="eastAsia" w:ascii="Verdana" w:hAnsi="Verdana" w:cs="宋体"/>
          <w:kern w:val="0"/>
          <w:szCs w:val="21"/>
        </w:rPr>
        <w:t>；</w:t>
      </w:r>
      <w:r>
        <w:rPr>
          <w:rFonts w:ascii="Verdana" w:hAnsi="Verdana" w:cs="宋体"/>
          <w:kern w:val="0"/>
          <w:szCs w:val="21"/>
        </w:rPr>
        <w:t>马吕斯定律</w:t>
      </w:r>
      <w:r>
        <w:rPr>
          <w:rFonts w:hint="eastAsia" w:ascii="Verdana" w:hAnsi="Verdana" w:cs="宋体"/>
          <w:kern w:val="0"/>
          <w:szCs w:val="21"/>
        </w:rPr>
        <w:t>；</w:t>
      </w:r>
      <w:r>
        <w:rPr>
          <w:rFonts w:ascii="Verdana" w:hAnsi="Verdana" w:cs="宋体"/>
          <w:kern w:val="0"/>
          <w:szCs w:val="21"/>
        </w:rPr>
        <w:t>双折射现象</w:t>
      </w:r>
      <w:r>
        <w:rPr>
          <w:rFonts w:hint="eastAsia" w:ascii="Verdana" w:hAnsi="Verdana" w:cs="宋体"/>
          <w:kern w:val="0"/>
          <w:szCs w:val="21"/>
        </w:rPr>
        <w:t>；</w:t>
      </w:r>
      <w:r>
        <w:rPr>
          <w:rFonts w:ascii="Verdana" w:hAnsi="Verdana" w:cs="宋体"/>
          <w:kern w:val="0"/>
          <w:szCs w:val="21"/>
        </w:rPr>
        <w:t>线偏振光的获得与检验</w:t>
      </w:r>
      <w:r>
        <w:rPr>
          <w:rFonts w:hint="eastAsia" w:ascii="Verdana" w:hAnsi="Verdana" w:cs="宋体"/>
          <w:kern w:val="0"/>
          <w:szCs w:val="21"/>
        </w:rPr>
        <w:t>；</w:t>
      </w:r>
      <w:r>
        <w:rPr>
          <w:rFonts w:cs="宋体"/>
          <w:kern w:val="0"/>
        </w:rPr>
        <w:t> </w:t>
      </w:r>
      <w:r>
        <w:rPr>
          <w:rFonts w:ascii="Verdana" w:hAnsi="Verdana" w:cs="宋体"/>
          <w:kern w:val="0"/>
          <w:szCs w:val="21"/>
        </w:rPr>
        <w:t>椭圆偏振光和圆偏振光</w:t>
      </w:r>
      <w:r>
        <w:rPr>
          <w:rFonts w:hint="eastAsia" w:ascii="Verdana" w:hAnsi="Verdana" w:cs="宋体"/>
          <w:kern w:val="0"/>
          <w:szCs w:val="21"/>
        </w:rPr>
        <w:t>。</w:t>
      </w:r>
    </w:p>
    <w:p>
      <w:pPr>
        <w:widowControl/>
        <w:snapToGrid w:val="0"/>
        <w:spacing w:line="360" w:lineRule="auto"/>
        <w:rPr>
          <w:rFonts w:hint="eastAsia" w:ascii="Verdana" w:hAnsi="Verdana" w:cs="宋体"/>
          <w:kern w:val="0"/>
          <w:szCs w:val="21"/>
        </w:rPr>
      </w:pPr>
    </w:p>
    <w:p>
      <w:pPr>
        <w:widowControl/>
        <w:snapToGrid w:val="0"/>
        <w:spacing w:line="360" w:lineRule="auto"/>
        <w:rPr>
          <w:rFonts w:hint="eastAsia" w:ascii="Verdana" w:hAnsi="Verdana" w:cs="宋体"/>
          <w:kern w:val="0"/>
          <w:szCs w:val="21"/>
        </w:rPr>
      </w:pPr>
      <w:r>
        <w:rPr>
          <w:rFonts w:hint="eastAsia" w:ascii="Verdana" w:hAnsi="Verdana" w:cs="宋体"/>
          <w:kern w:val="0"/>
          <w:szCs w:val="21"/>
        </w:rPr>
        <w:t>参考书目：</w:t>
      </w:r>
    </w:p>
    <w:p>
      <w:pPr>
        <w:widowControl/>
        <w:snapToGrid w:val="0"/>
        <w:spacing w:line="360" w:lineRule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马文蔚 《物理学》第七版，高等教育出版社，2020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0881"/>
    <w:rsid w:val="00033F6C"/>
    <w:rsid w:val="000E212C"/>
    <w:rsid w:val="000E3DB4"/>
    <w:rsid w:val="00131AE6"/>
    <w:rsid w:val="00131E43"/>
    <w:rsid w:val="0014215A"/>
    <w:rsid w:val="00161543"/>
    <w:rsid w:val="00175DAF"/>
    <w:rsid w:val="001935FD"/>
    <w:rsid w:val="001A04D4"/>
    <w:rsid w:val="001B356B"/>
    <w:rsid w:val="00211EEE"/>
    <w:rsid w:val="00247A87"/>
    <w:rsid w:val="002C1E06"/>
    <w:rsid w:val="002C7956"/>
    <w:rsid w:val="002F61EA"/>
    <w:rsid w:val="00301481"/>
    <w:rsid w:val="00326DCE"/>
    <w:rsid w:val="00393205"/>
    <w:rsid w:val="003A30D6"/>
    <w:rsid w:val="003A7255"/>
    <w:rsid w:val="003B5E43"/>
    <w:rsid w:val="003C10D6"/>
    <w:rsid w:val="003C33C7"/>
    <w:rsid w:val="0040646E"/>
    <w:rsid w:val="004B02F4"/>
    <w:rsid w:val="004C40D4"/>
    <w:rsid w:val="004E46D5"/>
    <w:rsid w:val="004F4F8A"/>
    <w:rsid w:val="004F5CA4"/>
    <w:rsid w:val="00527151"/>
    <w:rsid w:val="00572828"/>
    <w:rsid w:val="00572B30"/>
    <w:rsid w:val="005958E7"/>
    <w:rsid w:val="005A2985"/>
    <w:rsid w:val="005D4384"/>
    <w:rsid w:val="005D6B11"/>
    <w:rsid w:val="00646F30"/>
    <w:rsid w:val="00660FA7"/>
    <w:rsid w:val="006A38F8"/>
    <w:rsid w:val="006C7360"/>
    <w:rsid w:val="006D053B"/>
    <w:rsid w:val="006E7985"/>
    <w:rsid w:val="00705FF7"/>
    <w:rsid w:val="007072FD"/>
    <w:rsid w:val="00714AA1"/>
    <w:rsid w:val="0073576B"/>
    <w:rsid w:val="00752999"/>
    <w:rsid w:val="00763FC1"/>
    <w:rsid w:val="007765E2"/>
    <w:rsid w:val="007C2F39"/>
    <w:rsid w:val="007C7267"/>
    <w:rsid w:val="007E72CA"/>
    <w:rsid w:val="00816B34"/>
    <w:rsid w:val="008358B6"/>
    <w:rsid w:val="0084362E"/>
    <w:rsid w:val="008A44F2"/>
    <w:rsid w:val="008B0E4D"/>
    <w:rsid w:val="008B6F6B"/>
    <w:rsid w:val="008E5591"/>
    <w:rsid w:val="008E7164"/>
    <w:rsid w:val="00905731"/>
    <w:rsid w:val="00915178"/>
    <w:rsid w:val="00930929"/>
    <w:rsid w:val="00946093"/>
    <w:rsid w:val="00980BFF"/>
    <w:rsid w:val="009A6CB5"/>
    <w:rsid w:val="009C29BA"/>
    <w:rsid w:val="009D42AC"/>
    <w:rsid w:val="009E4D49"/>
    <w:rsid w:val="00A00066"/>
    <w:rsid w:val="00A44199"/>
    <w:rsid w:val="00AA549C"/>
    <w:rsid w:val="00AB1F07"/>
    <w:rsid w:val="00AC7AB0"/>
    <w:rsid w:val="00AE5947"/>
    <w:rsid w:val="00AE798A"/>
    <w:rsid w:val="00B60A5F"/>
    <w:rsid w:val="00B817CA"/>
    <w:rsid w:val="00B93F43"/>
    <w:rsid w:val="00BB72B7"/>
    <w:rsid w:val="00BB7A9C"/>
    <w:rsid w:val="00C376B0"/>
    <w:rsid w:val="00C81423"/>
    <w:rsid w:val="00CA52DF"/>
    <w:rsid w:val="00CB7C8D"/>
    <w:rsid w:val="00D24E3F"/>
    <w:rsid w:val="00D36818"/>
    <w:rsid w:val="00D40233"/>
    <w:rsid w:val="00D653AC"/>
    <w:rsid w:val="00DA49BD"/>
    <w:rsid w:val="00DA4D1E"/>
    <w:rsid w:val="00DE38DB"/>
    <w:rsid w:val="00DF77AB"/>
    <w:rsid w:val="00E10C75"/>
    <w:rsid w:val="00E20E10"/>
    <w:rsid w:val="00E45404"/>
    <w:rsid w:val="00E81D45"/>
    <w:rsid w:val="00EB3547"/>
    <w:rsid w:val="00EB7CFF"/>
    <w:rsid w:val="00EF4FE4"/>
    <w:rsid w:val="00F06F63"/>
    <w:rsid w:val="00F07964"/>
    <w:rsid w:val="00F171EC"/>
    <w:rsid w:val="00F260E6"/>
    <w:rsid w:val="00F324B4"/>
    <w:rsid w:val="00F36FE9"/>
    <w:rsid w:val="00F60721"/>
    <w:rsid w:val="00FC2E24"/>
    <w:rsid w:val="00FF0C8E"/>
    <w:rsid w:val="7789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jc w:val="left"/>
      <w:outlineLvl w:val="0"/>
    </w:pPr>
    <w:rPr>
      <w:rFonts w:ascii="宋体" w:hAnsi="宋体" w:cs="宋体"/>
      <w:kern w:val="36"/>
      <w:sz w:val="18"/>
      <w:szCs w:val="18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Emphasis"/>
    <w:qFormat/>
    <w:uiPriority w:val="0"/>
    <w:rPr>
      <w:i/>
      <w:iCs/>
    </w:rPr>
  </w:style>
  <w:style w:type="character" w:customStyle="1" w:styleId="10">
    <w:name w:val="apple-converted-space"/>
    <w:basedOn w:val="7"/>
    <w:uiPriority w:val="0"/>
  </w:style>
  <w:style w:type="character" w:customStyle="1" w:styleId="11">
    <w:name w:val="页眉 Char"/>
    <w:link w:val="4"/>
    <w:uiPriority w:val="0"/>
    <w:rPr>
      <w:kern w:val="2"/>
      <w:sz w:val="18"/>
      <w:szCs w:val="18"/>
    </w:rPr>
  </w:style>
  <w:style w:type="character" w:customStyle="1" w:styleId="12">
    <w:name w:val="页脚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23&#24180;&#24230;&#25307;&#29983;&#24037;&#20316;\&#24037;&#20316;&#35745;&#21010;\Normal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yjsb</Company>
  <Pages>2</Pages>
  <Words>1120</Words>
  <Characters>1128</Characters>
  <Lines>8</Lines>
  <Paragraphs>2</Paragraphs>
  <TotalTime>1</TotalTime>
  <ScaleCrop>false</ScaleCrop>
  <LinksUpToDate>false</LinksUpToDate>
  <CharactersWithSpaces>1137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2022-08-14T08:54:00Z</dcterms:created>
  <dc:creator>lijingyuan</dc:creator>
  <cp:lastModifiedBy>老刘</cp:lastModifiedBy>
  <cp:lastPrinted>2411-12-30T00:00:00Z</cp:lastPrinted>
  <dcterms:modified xsi:type="dcterms:W3CDTF">2023-09-06T11:39:03Z</dcterms:modified>
  <dc:title>805--《光学》考试大纲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C83AB9DFB349475A87A19F20DC5D7451</vt:lpwstr>
  </property>
</Properties>
</file>