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77D40">
      <w:pPr>
        <w:ind w:left="-525" w:leftChars="-250"/>
        <w:jc w:val="center"/>
        <w:rPr>
          <w:rFonts w:eastAsia="隶书"/>
          <w:b/>
          <w:sz w:val="44"/>
          <w:szCs w:val="44"/>
        </w:rPr>
      </w:pPr>
      <w:r>
        <w:rPr>
          <w:rFonts w:eastAsia="隶书"/>
          <w:b/>
          <w:sz w:val="44"/>
          <w:szCs w:val="44"/>
        </w:rPr>
        <w:t>20</w:t>
      </w:r>
      <w:r>
        <w:rPr>
          <w:rFonts w:hint="eastAsia" w:eastAsia="隶书"/>
          <w:b/>
          <w:sz w:val="44"/>
          <w:szCs w:val="44"/>
        </w:rPr>
        <w:t>25年硕士研究生入学考试初试科目大纲</w:t>
      </w:r>
    </w:p>
    <w:tbl>
      <w:tblPr>
        <w:tblStyle w:val="7"/>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423"/>
        <w:gridCol w:w="2830"/>
      </w:tblGrid>
      <w:tr w14:paraId="28B44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8DBC428">
            <w:pPr>
              <w:spacing w:line="520" w:lineRule="exact"/>
              <w:jc w:val="center"/>
              <w:rPr>
                <w:rFonts w:ascii="华文仿宋" w:hAnsi="华文仿宋" w:eastAsia="华文仿宋"/>
                <w:b/>
                <w:szCs w:val="21"/>
              </w:rPr>
            </w:pPr>
            <w:r>
              <w:rPr>
                <w:rFonts w:hint="eastAsia" w:eastAsia="华文仿宋"/>
                <w:b/>
                <w:sz w:val="28"/>
                <w:szCs w:val="28"/>
              </w:rPr>
              <w:t>招生学院</w:t>
            </w:r>
          </w:p>
        </w:tc>
        <w:tc>
          <w:tcPr>
            <w:tcW w:w="1947" w:type="dxa"/>
            <w:tcBorders>
              <w:top w:val="single" w:color="auto" w:sz="4" w:space="0"/>
              <w:left w:val="single" w:color="auto" w:sz="4" w:space="0"/>
              <w:bottom w:val="single" w:color="auto" w:sz="4" w:space="0"/>
              <w:right w:val="single" w:color="auto" w:sz="4" w:space="0"/>
            </w:tcBorders>
            <w:vAlign w:val="center"/>
          </w:tcPr>
          <w:p w14:paraId="0E874CCE">
            <w:pPr>
              <w:spacing w:line="520" w:lineRule="exact"/>
              <w:jc w:val="center"/>
              <w:rPr>
                <w:rFonts w:ascii="华文仿宋" w:hAnsi="华文仿宋" w:eastAsia="华文仿宋"/>
                <w:b/>
                <w:szCs w:val="21"/>
              </w:rPr>
            </w:pPr>
            <w:r>
              <w:rPr>
                <w:rFonts w:hint="eastAsia" w:eastAsia="华文仿宋"/>
                <w:b/>
                <w:sz w:val="28"/>
                <w:szCs w:val="28"/>
              </w:rPr>
              <w:t>招生专业代码</w:t>
            </w:r>
          </w:p>
        </w:tc>
        <w:tc>
          <w:tcPr>
            <w:tcW w:w="2423" w:type="dxa"/>
            <w:tcBorders>
              <w:top w:val="single" w:color="auto" w:sz="4" w:space="0"/>
              <w:left w:val="single" w:color="auto" w:sz="4" w:space="0"/>
              <w:bottom w:val="single" w:color="auto" w:sz="4" w:space="0"/>
              <w:right w:val="single" w:color="auto" w:sz="4" w:space="0"/>
            </w:tcBorders>
            <w:vAlign w:val="center"/>
          </w:tcPr>
          <w:p w14:paraId="5E53BEBD">
            <w:pPr>
              <w:spacing w:line="520" w:lineRule="exact"/>
              <w:jc w:val="center"/>
              <w:rPr>
                <w:rFonts w:ascii="华文仿宋" w:hAnsi="华文仿宋" w:eastAsia="华文仿宋"/>
                <w:b/>
                <w:szCs w:val="21"/>
              </w:rPr>
            </w:pPr>
            <w:r>
              <w:rPr>
                <w:rFonts w:hint="eastAsia" w:eastAsia="华文仿宋"/>
                <w:b/>
                <w:sz w:val="28"/>
                <w:szCs w:val="28"/>
              </w:rPr>
              <w:t>招生专业名称</w:t>
            </w:r>
          </w:p>
        </w:tc>
        <w:tc>
          <w:tcPr>
            <w:tcW w:w="2830" w:type="dxa"/>
            <w:tcBorders>
              <w:top w:val="single" w:color="auto" w:sz="4" w:space="0"/>
              <w:left w:val="single" w:color="auto" w:sz="4" w:space="0"/>
              <w:bottom w:val="single" w:color="auto" w:sz="4" w:space="0"/>
              <w:right w:val="single" w:color="auto" w:sz="4" w:space="0"/>
            </w:tcBorders>
            <w:vAlign w:val="center"/>
          </w:tcPr>
          <w:p w14:paraId="13ED88D6">
            <w:pPr>
              <w:spacing w:line="520" w:lineRule="exact"/>
              <w:jc w:val="center"/>
              <w:rPr>
                <w:rFonts w:ascii="华文仿宋" w:hAnsi="华文仿宋" w:eastAsia="华文仿宋"/>
                <w:b/>
                <w:szCs w:val="21"/>
              </w:rPr>
            </w:pPr>
            <w:r>
              <w:rPr>
                <w:rFonts w:hint="eastAsia" w:eastAsia="华文仿宋"/>
                <w:b/>
                <w:sz w:val="28"/>
                <w:szCs w:val="28"/>
              </w:rPr>
              <w:t>考试科目代码及名称</w:t>
            </w:r>
          </w:p>
        </w:tc>
      </w:tr>
      <w:tr w14:paraId="548DC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E42D819">
            <w:pPr>
              <w:spacing w:line="5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法学院</w:t>
            </w:r>
          </w:p>
        </w:tc>
        <w:tc>
          <w:tcPr>
            <w:tcW w:w="1947" w:type="dxa"/>
            <w:tcBorders>
              <w:top w:val="single" w:color="auto" w:sz="4" w:space="0"/>
              <w:left w:val="single" w:color="auto" w:sz="4" w:space="0"/>
              <w:bottom w:val="single" w:color="auto" w:sz="4" w:space="0"/>
              <w:right w:val="single" w:color="auto" w:sz="4" w:space="0"/>
            </w:tcBorders>
            <w:vAlign w:val="center"/>
          </w:tcPr>
          <w:p w14:paraId="496A2A65">
            <w:pPr>
              <w:spacing w:line="5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035400</w:t>
            </w:r>
          </w:p>
        </w:tc>
        <w:tc>
          <w:tcPr>
            <w:tcW w:w="2423" w:type="dxa"/>
            <w:tcBorders>
              <w:top w:val="single" w:color="auto" w:sz="4" w:space="0"/>
              <w:left w:val="single" w:color="auto" w:sz="4" w:space="0"/>
              <w:bottom w:val="single" w:color="auto" w:sz="4" w:space="0"/>
              <w:right w:val="single" w:color="auto" w:sz="4" w:space="0"/>
            </w:tcBorders>
            <w:vAlign w:val="center"/>
          </w:tcPr>
          <w:p w14:paraId="0F461FDA">
            <w:pPr>
              <w:spacing w:line="520" w:lineRule="exact"/>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知识产权</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专业学位）</w:t>
            </w:r>
          </w:p>
        </w:tc>
        <w:tc>
          <w:tcPr>
            <w:tcW w:w="2830" w:type="dxa"/>
            <w:tcBorders>
              <w:top w:val="single" w:color="auto" w:sz="4" w:space="0"/>
              <w:left w:val="single" w:color="auto" w:sz="4" w:space="0"/>
              <w:bottom w:val="single" w:color="auto" w:sz="4" w:space="0"/>
              <w:right w:val="single" w:color="auto" w:sz="4" w:space="0"/>
            </w:tcBorders>
            <w:vAlign w:val="center"/>
          </w:tcPr>
          <w:p w14:paraId="638BB5F2">
            <w:pPr>
              <w:spacing w:line="52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8</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9知识产权综合</w:t>
            </w:r>
          </w:p>
        </w:tc>
      </w:tr>
      <w:tr w14:paraId="47D4C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50645D03">
            <w:pPr>
              <w:spacing w:line="288" w:lineRule="auto"/>
              <w:jc w:val="center"/>
              <w:rPr>
                <w:rFonts w:ascii="华文仿宋" w:hAnsi="华文仿宋" w:eastAsia="华文仿宋"/>
                <w:b/>
                <w:sz w:val="28"/>
                <w:szCs w:val="28"/>
              </w:rPr>
            </w:pPr>
          </w:p>
          <w:p w14:paraId="59D30461">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14:paraId="5ED24B40">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14:paraId="036BD876">
            <w:pPr>
              <w:widowControl/>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I.考试性质</w:t>
            </w:r>
          </w:p>
          <w:p w14:paraId="5B5BE0DC">
            <w:pPr>
              <w:widowControl/>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综合》考试是为我校招收知识产权硕士研究生而设置的具有选拔性质的入学考试科目，其目的是科学、公平、有效地考查学生掌握知识产权基本理论、基础知识以及运用知识产权专业知识分析和解决实际问题的能力，测试考生是否具备攻读知识产权硕士学位所需要的基础知识和基本技能。考试难度以管理学、法学等本科毕业生所达到的程度为标准，以保证被录取者具有较为扎实的知识产权法学综合功底。</w:t>
            </w:r>
          </w:p>
          <w:p w14:paraId="6ECE4863">
            <w:pPr>
              <w:widowControl/>
              <w:rPr>
                <w:rFonts w:ascii="Arial" w:hAnsi="Arial" w:cs="Arial"/>
                <w:b/>
                <w:bCs/>
                <w:color w:val="333333"/>
                <w:sz w:val="28"/>
                <w:szCs w:val="28"/>
                <w:shd w:val="clear" w:color="auto" w:fill="FFFFFF"/>
              </w:rPr>
            </w:pPr>
            <w:r>
              <w:rPr>
                <w:rFonts w:hint="eastAsia" w:ascii="Arial" w:hAnsi="Arial" w:cs="Arial"/>
                <w:b/>
                <w:bCs/>
                <w:color w:val="333333"/>
                <w:sz w:val="28"/>
                <w:szCs w:val="28"/>
                <w:shd w:val="clear" w:color="auto" w:fill="FFFFFF"/>
              </w:rPr>
              <w:t>II. 考查目标</w:t>
            </w:r>
          </w:p>
          <w:p w14:paraId="7ABBF074">
            <w:pPr>
              <w:widowControl/>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《知识产权综合》考试涵盖知识产权管理和知识产权实务。要求考生：</w:t>
            </w:r>
          </w:p>
          <w:p w14:paraId="170480F6">
            <w:pPr>
              <w:widowControl/>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（1）准确掌握知识产权管理和实务的基础知识。</w:t>
            </w:r>
          </w:p>
          <w:p w14:paraId="40515534">
            <w:pPr>
              <w:widowControl/>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（2）运用知识产权专业知识，分析并解决有关知识产权管理和实务问题。</w:t>
            </w:r>
          </w:p>
          <w:p w14:paraId="255A889A">
            <w:pPr>
              <w:widowControl/>
              <w:rPr>
                <w:rFonts w:ascii="Arial" w:hAnsi="Arial" w:cs="Arial"/>
                <w:b/>
                <w:bCs/>
                <w:color w:val="333333"/>
                <w:sz w:val="28"/>
                <w:szCs w:val="28"/>
                <w:shd w:val="clear" w:color="auto" w:fill="FFFFFF"/>
              </w:rPr>
            </w:pPr>
            <w:bookmarkStart w:id="0" w:name="_GoBack"/>
            <w:r>
              <w:rPr>
                <w:rFonts w:hint="eastAsia" w:ascii="Arial" w:hAnsi="Arial" w:cs="Arial"/>
                <w:b/>
                <w:bCs/>
                <w:color w:val="333333"/>
                <w:sz w:val="28"/>
                <w:szCs w:val="28"/>
                <w:shd w:val="clear" w:color="auto" w:fill="FFFFFF"/>
              </w:rPr>
              <w:t>Ⅲ. 考查内容</w:t>
            </w:r>
          </w:p>
          <w:bookmarkEnd w:id="0"/>
          <w:p w14:paraId="2A4BCB8C">
            <w:pPr>
              <w:pStyle w:val="10"/>
              <w:numPr>
                <w:ilvl w:val="0"/>
                <w:numId w:val="1"/>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知识产权管理</w:t>
            </w:r>
          </w:p>
          <w:p w14:paraId="78783C0F">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知识产权及其管理概述</w:t>
            </w:r>
          </w:p>
          <w:p w14:paraId="0A0A102A">
            <w:pPr>
              <w:pStyle w:val="10"/>
              <w:numPr>
                <w:ilvl w:val="0"/>
                <w:numId w:val="3"/>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知识产权的概念及其特征</w:t>
            </w:r>
          </w:p>
          <w:p w14:paraId="03A64B6B">
            <w:pPr>
              <w:pStyle w:val="10"/>
              <w:numPr>
                <w:ilvl w:val="0"/>
                <w:numId w:val="3"/>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知识产权管理的特征和功能</w:t>
            </w:r>
          </w:p>
          <w:p w14:paraId="0D2B2556">
            <w:pPr>
              <w:pStyle w:val="10"/>
              <w:numPr>
                <w:ilvl w:val="0"/>
                <w:numId w:val="3"/>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知识产权管理与竞争优势的关系</w:t>
            </w:r>
          </w:p>
          <w:p w14:paraId="736FA54D">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知识产权管理体系</w:t>
            </w:r>
          </w:p>
          <w:p w14:paraId="1D0B18A3">
            <w:pPr>
              <w:pStyle w:val="10"/>
              <w:numPr>
                <w:ilvl w:val="0"/>
                <w:numId w:val="4"/>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国家知识产权行政管理机构及其职能</w:t>
            </w:r>
          </w:p>
          <w:p w14:paraId="53C73E47">
            <w:pPr>
              <w:pStyle w:val="10"/>
              <w:numPr>
                <w:ilvl w:val="0"/>
                <w:numId w:val="4"/>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知识产权管理相关法律法规及规范</w:t>
            </w:r>
          </w:p>
          <w:p w14:paraId="01A22486">
            <w:pPr>
              <w:pStyle w:val="10"/>
              <w:numPr>
                <w:ilvl w:val="0"/>
                <w:numId w:val="4"/>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国家知识产权战略的意义</w:t>
            </w:r>
          </w:p>
          <w:p w14:paraId="7229D2E0">
            <w:pPr>
              <w:pStyle w:val="10"/>
              <w:numPr>
                <w:ilvl w:val="0"/>
                <w:numId w:val="4"/>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企业知识产权战略的管理过程</w:t>
            </w:r>
          </w:p>
          <w:p w14:paraId="3E478EEB">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知识产权的取得</w:t>
            </w:r>
          </w:p>
          <w:p w14:paraId="521C3982">
            <w:pPr>
              <w:pStyle w:val="10"/>
              <w:numPr>
                <w:ilvl w:val="0"/>
                <w:numId w:val="5"/>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企业技术开发中的成果及其权利归属</w:t>
            </w:r>
          </w:p>
          <w:p w14:paraId="3F342589">
            <w:pPr>
              <w:pStyle w:val="10"/>
              <w:numPr>
                <w:ilvl w:val="0"/>
                <w:numId w:val="5"/>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比较各种知识产权的权利获得方式（专利权、著作权、企业商标权、植物新品种权、地理标志权等）</w:t>
            </w:r>
          </w:p>
          <w:p w14:paraId="26390A74">
            <w:pPr>
              <w:pStyle w:val="10"/>
              <w:numPr>
                <w:ilvl w:val="0"/>
                <w:numId w:val="5"/>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知识产权取得中的注意事项</w:t>
            </w:r>
          </w:p>
          <w:p w14:paraId="6E4869E7">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知识产权运用</w:t>
            </w:r>
          </w:p>
          <w:p w14:paraId="5BDC87A3">
            <w:pPr>
              <w:pStyle w:val="10"/>
              <w:numPr>
                <w:ilvl w:val="0"/>
                <w:numId w:val="6"/>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知识产权许可类型和转让形式</w:t>
            </w:r>
          </w:p>
          <w:p w14:paraId="27208D55">
            <w:pPr>
              <w:pStyle w:val="10"/>
              <w:numPr>
                <w:ilvl w:val="0"/>
                <w:numId w:val="6"/>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知识产权许可与转让的区别</w:t>
            </w:r>
          </w:p>
          <w:p w14:paraId="220805D1">
            <w:pPr>
              <w:pStyle w:val="10"/>
              <w:numPr>
                <w:ilvl w:val="0"/>
                <w:numId w:val="6"/>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知识产权质押、出资、信托、拍卖</w:t>
            </w:r>
          </w:p>
          <w:p w14:paraId="45ECB3A4">
            <w:pPr>
              <w:pStyle w:val="10"/>
              <w:numPr>
                <w:ilvl w:val="0"/>
                <w:numId w:val="6"/>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商业特许经营、知识产权捐赠</w:t>
            </w:r>
          </w:p>
          <w:p w14:paraId="26E0DC68">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知识产权的保护</w:t>
            </w:r>
          </w:p>
          <w:p w14:paraId="1004E3FC">
            <w:pPr>
              <w:pStyle w:val="10"/>
              <w:numPr>
                <w:ilvl w:val="0"/>
                <w:numId w:val="7"/>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知识产权保护策略</w:t>
            </w:r>
          </w:p>
          <w:p w14:paraId="0A519048">
            <w:pPr>
              <w:pStyle w:val="10"/>
              <w:numPr>
                <w:ilvl w:val="0"/>
                <w:numId w:val="7"/>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知识产权保护的相关法律制度</w:t>
            </w:r>
          </w:p>
          <w:p w14:paraId="2B52FFF4">
            <w:pPr>
              <w:pStyle w:val="10"/>
              <w:numPr>
                <w:ilvl w:val="0"/>
                <w:numId w:val="7"/>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知识产权保护相关制度的适用</w:t>
            </w:r>
          </w:p>
          <w:p w14:paraId="3C05519D">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知识产权行政管理</w:t>
            </w:r>
          </w:p>
          <w:p w14:paraId="70821FA2">
            <w:pPr>
              <w:pStyle w:val="10"/>
              <w:ind w:left="870" w:firstLine="0"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1.知识产权行政管理的主要特征</w:t>
            </w:r>
          </w:p>
          <w:p w14:paraId="032C1264">
            <w:pPr>
              <w:pStyle w:val="10"/>
              <w:ind w:left="870" w:firstLine="0"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2.知识产权行政管理的基本体系与内容</w:t>
            </w:r>
          </w:p>
          <w:p w14:paraId="109F8AA1">
            <w:pPr>
              <w:pStyle w:val="10"/>
              <w:ind w:left="870" w:firstLine="0"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3.知识产权公共服务管理的意义</w:t>
            </w:r>
          </w:p>
          <w:p w14:paraId="6BF1A7BF">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知识产权价值评估</w:t>
            </w:r>
          </w:p>
          <w:p w14:paraId="6B91593C">
            <w:pPr>
              <w:pStyle w:val="10"/>
              <w:numPr>
                <w:ilvl w:val="0"/>
                <w:numId w:val="8"/>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无形资产评估的内涵和特征</w:t>
            </w:r>
          </w:p>
          <w:p w14:paraId="05EBBFE8">
            <w:pPr>
              <w:pStyle w:val="10"/>
              <w:numPr>
                <w:ilvl w:val="0"/>
                <w:numId w:val="8"/>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影响知识产权价值评估的因素</w:t>
            </w:r>
          </w:p>
          <w:p w14:paraId="5C39DAE4">
            <w:pPr>
              <w:pStyle w:val="10"/>
              <w:numPr>
                <w:ilvl w:val="0"/>
                <w:numId w:val="8"/>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知识产权价值评估的程序与方法</w:t>
            </w:r>
          </w:p>
          <w:p w14:paraId="3321ECC2">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知识产权人力资源管理</w:t>
            </w:r>
          </w:p>
          <w:p w14:paraId="36B9C13C">
            <w:pPr>
              <w:pStyle w:val="10"/>
              <w:numPr>
                <w:ilvl w:val="0"/>
                <w:numId w:val="9"/>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知识产权人力资源管理的基本功能</w:t>
            </w:r>
          </w:p>
          <w:p w14:paraId="07C69D75">
            <w:pPr>
              <w:pStyle w:val="10"/>
              <w:numPr>
                <w:ilvl w:val="0"/>
                <w:numId w:val="9"/>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知识产权人力资源的管理与激励</w:t>
            </w:r>
          </w:p>
          <w:p w14:paraId="394A4853">
            <w:pPr>
              <w:pStyle w:val="10"/>
              <w:numPr>
                <w:ilvl w:val="0"/>
                <w:numId w:val="9"/>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知识产权人才培养的内容和方式</w:t>
            </w:r>
          </w:p>
          <w:p w14:paraId="29DCE454">
            <w:pPr>
              <w:pStyle w:val="10"/>
              <w:numPr>
                <w:ilvl w:val="0"/>
                <w:numId w:val="2"/>
              </w:numPr>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知识产权合同管理</w:t>
            </w:r>
          </w:p>
          <w:p w14:paraId="32655A96">
            <w:pPr>
              <w:pStyle w:val="10"/>
              <w:numPr>
                <w:ilvl w:val="0"/>
                <w:numId w:val="10"/>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知识产权合同管理相关的法律法规制度</w:t>
            </w:r>
          </w:p>
          <w:p w14:paraId="19140F76">
            <w:pPr>
              <w:pStyle w:val="10"/>
              <w:numPr>
                <w:ilvl w:val="0"/>
                <w:numId w:val="10"/>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各类知识产权合理的主要内容</w:t>
            </w:r>
          </w:p>
          <w:p w14:paraId="6675CE92">
            <w:pPr>
              <w:pStyle w:val="10"/>
              <w:numPr>
                <w:ilvl w:val="0"/>
                <w:numId w:val="10"/>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签订各类知识产权合同的重要注意事项</w:t>
            </w:r>
          </w:p>
          <w:p w14:paraId="41931F4E">
            <w:pPr>
              <w:pStyle w:val="10"/>
              <w:numPr>
                <w:ilvl w:val="0"/>
                <w:numId w:val="2"/>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专利信息检索与分析</w:t>
            </w:r>
          </w:p>
          <w:p w14:paraId="46D0CE22">
            <w:pPr>
              <w:pStyle w:val="10"/>
              <w:numPr>
                <w:ilvl w:val="0"/>
                <w:numId w:val="11"/>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专利信息的含义及其包含的信息内容与作用</w:t>
            </w:r>
          </w:p>
          <w:p w14:paraId="62D9F7F3">
            <w:pPr>
              <w:pStyle w:val="10"/>
              <w:numPr>
                <w:ilvl w:val="0"/>
                <w:numId w:val="11"/>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专利信息检索的信息源、检索方法与策略</w:t>
            </w:r>
          </w:p>
          <w:p w14:paraId="42FD9C71">
            <w:pPr>
              <w:pStyle w:val="10"/>
              <w:numPr>
                <w:ilvl w:val="0"/>
                <w:numId w:val="11"/>
              </w:numPr>
              <w:tabs>
                <w:tab w:val="left" w:pos="880"/>
              </w:tabs>
              <w:ind w:firstLineChars="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专利信息分析的方法、流程与解读技巧</w:t>
            </w:r>
          </w:p>
          <w:p w14:paraId="6A8E0329">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二、知识产权实务</w:t>
            </w:r>
          </w:p>
          <w:p w14:paraId="383E8EE0">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（一）专利实务</w:t>
            </w:r>
          </w:p>
          <w:p w14:paraId="288D9137">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1.专利代理制度：专利代理、专利代理机构、专利代理师、专利代理师及专利代理机构执业规范。</w:t>
            </w:r>
          </w:p>
          <w:p w14:paraId="3A7250D1">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2.授予专利权的实质条件：专利保护的对象和主题、发明和使用新型专利申请的授权条件、外观设计专利申请的授权条件。</w:t>
            </w:r>
          </w:p>
          <w:p w14:paraId="237FD753">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3.专利申请文件：请求书、权利要求书、说明书及附图、摘要、简要说明。</w:t>
            </w:r>
          </w:p>
          <w:p w14:paraId="61540F31">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4.专利申请及审查：申请、初步审查、实质审查、复审、无效宣告。</w:t>
            </w:r>
          </w:p>
          <w:p w14:paraId="00B7E581">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5.专利权的实施与保护：专利侵权行为、救济方法、专利实施的特别许可。</w:t>
            </w:r>
          </w:p>
          <w:p w14:paraId="5B8B0761">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（二）商标实务</w:t>
            </w:r>
          </w:p>
          <w:p w14:paraId="5CD9EFF5">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1.商标注册申请的条件与程序：注册商标种类、商标构成要素、注册条件、地理标志。</w:t>
            </w:r>
          </w:p>
          <w:p w14:paraId="6D53B633">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2.商标审查程序：初步审定、公告、核准注册、复审、异议。</w:t>
            </w:r>
          </w:p>
          <w:p w14:paraId="0F44B5D3">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3.注册商标的续展、变更、转让和使用许可：期限、手续、许可。</w:t>
            </w:r>
          </w:p>
          <w:p w14:paraId="3A4ABFF6">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4.商标专用权的保护和驰名商标的特殊保护：侵权行为及法律责任、对“驰名商标”字样的使用限制。</w:t>
            </w:r>
          </w:p>
          <w:p w14:paraId="0DCC7DE0">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（三）其他知识产权实务</w:t>
            </w:r>
          </w:p>
          <w:p w14:paraId="610FB96B">
            <w:pPr>
              <w:spacing w:line="520" w:lineRule="exact"/>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1.著作权：保护期限与限制。</w:t>
            </w:r>
          </w:p>
          <w:p w14:paraId="22B55704">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2.集成电路布图设计权：申请保护的条件和程序。</w:t>
            </w:r>
          </w:p>
          <w:p w14:paraId="1A8605E2">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3.植物新品种权：获得品种权的程序。</w:t>
            </w:r>
          </w:p>
          <w:p w14:paraId="49076E69">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4.商业秘密权：民事责任、刑事责任、行政责任。</w:t>
            </w:r>
          </w:p>
          <w:p w14:paraId="528BB3A5">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（四）知识产权法律实务</w:t>
            </w:r>
          </w:p>
          <w:p w14:paraId="32B772FF">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1.我国现行知识产权法律体系。</w:t>
            </w:r>
          </w:p>
          <w:p w14:paraId="3DFC3543">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2.知识产权司法实务：人民法院审理知识产权纠纷案件，人民检察院公诉、监督、抗诉知识产权犯罪案件。</w:t>
            </w:r>
          </w:p>
          <w:p w14:paraId="47E1F170">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3.知识产权法律服务实务：法律咨询、法律文书撰写、诉讼代理。</w:t>
            </w:r>
          </w:p>
          <w:p w14:paraId="4F4BF52D">
            <w:pPr>
              <w:ind w:firstLine="560" w:firstLineChars="200"/>
              <w:rPr>
                <w:rFonts w:ascii="Arial" w:hAnsi="Arial" w:cs="Arial"/>
                <w:color w:val="333333"/>
                <w:sz w:val="28"/>
                <w:szCs w:val="28"/>
                <w:shd w:val="clear" w:color="auto" w:fill="FFFFFF"/>
              </w:rPr>
            </w:pPr>
            <w:r>
              <w:rPr>
                <w:rFonts w:hint="eastAsia" w:ascii="Arial" w:hAnsi="Arial" w:cs="Arial"/>
                <w:color w:val="333333"/>
                <w:sz w:val="28"/>
                <w:szCs w:val="28"/>
                <w:shd w:val="clear" w:color="auto" w:fill="FFFFFF"/>
              </w:rPr>
              <w:t>4.知识产权纠纷化解机制：仲裁、调解。</w:t>
            </w:r>
          </w:p>
        </w:tc>
      </w:tr>
      <w:tr w14:paraId="72E7B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4181742">
            <w:pPr>
              <w:pStyle w:val="10"/>
              <w:spacing w:line="600" w:lineRule="exact"/>
              <w:ind w:firstLine="0" w:firstLineChars="0"/>
              <w:jc w:val="center"/>
              <w:rPr>
                <w:rFonts w:ascii="华文仿宋" w:hAnsi="华文仿宋" w:eastAsia="华文仿宋"/>
                <w:b/>
                <w:bCs/>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tc>
        <w:tc>
          <w:tcPr>
            <w:tcW w:w="7200" w:type="dxa"/>
            <w:gridSpan w:val="3"/>
            <w:tcBorders>
              <w:top w:val="single" w:color="auto" w:sz="4" w:space="0"/>
              <w:left w:val="single" w:color="auto" w:sz="4" w:space="0"/>
              <w:bottom w:val="single" w:color="auto" w:sz="4" w:space="0"/>
              <w:right w:val="single" w:color="auto" w:sz="4" w:space="0"/>
            </w:tcBorders>
            <w:vAlign w:val="center"/>
          </w:tcPr>
          <w:p w14:paraId="4B8AB801">
            <w:pPr>
              <w:widowControl/>
              <w:jc w:val="center"/>
              <w:rPr>
                <w:rFonts w:ascii="宋体" w:hAnsi="宋体" w:cs="宋体"/>
                <w:color w:val="333333"/>
                <w:kern w:val="0"/>
                <w:sz w:val="24"/>
              </w:rPr>
            </w:pPr>
            <w:r>
              <w:rPr>
                <w:rFonts w:hint="eastAsia"/>
                <w:sz w:val="28"/>
                <w:szCs w:val="28"/>
              </w:rPr>
              <w:t>不指定参考书目，考试范围以本考试大纲为准。</w:t>
            </w:r>
          </w:p>
        </w:tc>
      </w:tr>
    </w:tbl>
    <w:p w14:paraId="32BB3710">
      <w:pPr>
        <w:rPr>
          <w:rFonts w:ascii="宋体" w:hAnsi="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21EE3"/>
    <w:multiLevelType w:val="multilevel"/>
    <w:tmpl w:val="0AF21EE3"/>
    <w:lvl w:ilvl="0" w:tentative="0">
      <w:start w:val="1"/>
      <w:numFmt w:val="decimal"/>
      <w:lvlText w:val="%1."/>
      <w:lvlJc w:val="left"/>
      <w:pPr>
        <w:ind w:left="1060" w:hanging="360"/>
      </w:pPr>
      <w:rPr>
        <w:rFonts w:hint="default"/>
      </w:rPr>
    </w:lvl>
    <w:lvl w:ilvl="1" w:tentative="0">
      <w:start w:val="1"/>
      <w:numFmt w:val="lowerLetter"/>
      <w:lvlText w:val="%2)"/>
      <w:lvlJc w:val="left"/>
      <w:pPr>
        <w:ind w:left="1580" w:hanging="440"/>
      </w:pPr>
    </w:lvl>
    <w:lvl w:ilvl="2" w:tentative="0">
      <w:start w:val="1"/>
      <w:numFmt w:val="lowerRoman"/>
      <w:lvlText w:val="%3."/>
      <w:lvlJc w:val="right"/>
      <w:pPr>
        <w:ind w:left="2020" w:hanging="440"/>
      </w:pPr>
    </w:lvl>
    <w:lvl w:ilvl="3" w:tentative="0">
      <w:start w:val="1"/>
      <w:numFmt w:val="decimal"/>
      <w:lvlText w:val="%4."/>
      <w:lvlJc w:val="left"/>
      <w:pPr>
        <w:ind w:left="2460" w:hanging="440"/>
      </w:pPr>
    </w:lvl>
    <w:lvl w:ilvl="4" w:tentative="0">
      <w:start w:val="1"/>
      <w:numFmt w:val="lowerLetter"/>
      <w:lvlText w:val="%5)"/>
      <w:lvlJc w:val="left"/>
      <w:pPr>
        <w:ind w:left="2900" w:hanging="440"/>
      </w:pPr>
    </w:lvl>
    <w:lvl w:ilvl="5" w:tentative="0">
      <w:start w:val="1"/>
      <w:numFmt w:val="lowerRoman"/>
      <w:lvlText w:val="%6."/>
      <w:lvlJc w:val="right"/>
      <w:pPr>
        <w:ind w:left="3340" w:hanging="440"/>
      </w:pPr>
    </w:lvl>
    <w:lvl w:ilvl="6" w:tentative="0">
      <w:start w:val="1"/>
      <w:numFmt w:val="decimal"/>
      <w:lvlText w:val="%7."/>
      <w:lvlJc w:val="left"/>
      <w:pPr>
        <w:ind w:left="3780" w:hanging="440"/>
      </w:pPr>
    </w:lvl>
    <w:lvl w:ilvl="7" w:tentative="0">
      <w:start w:val="1"/>
      <w:numFmt w:val="lowerLetter"/>
      <w:lvlText w:val="%8)"/>
      <w:lvlJc w:val="left"/>
      <w:pPr>
        <w:ind w:left="4220" w:hanging="440"/>
      </w:pPr>
    </w:lvl>
    <w:lvl w:ilvl="8" w:tentative="0">
      <w:start w:val="1"/>
      <w:numFmt w:val="lowerRoman"/>
      <w:lvlText w:val="%9."/>
      <w:lvlJc w:val="right"/>
      <w:pPr>
        <w:ind w:left="4660" w:hanging="440"/>
      </w:pPr>
    </w:lvl>
  </w:abstractNum>
  <w:abstractNum w:abstractNumId="1">
    <w:nsid w:val="1D9938C8"/>
    <w:multiLevelType w:val="multilevel"/>
    <w:tmpl w:val="1D9938C8"/>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2">
    <w:nsid w:val="2D3A3482"/>
    <w:multiLevelType w:val="multilevel"/>
    <w:tmpl w:val="2D3A3482"/>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3">
    <w:nsid w:val="3E2B2802"/>
    <w:multiLevelType w:val="multilevel"/>
    <w:tmpl w:val="3E2B2802"/>
    <w:lvl w:ilvl="0" w:tentative="0">
      <w:start w:val="1"/>
      <w:numFmt w:val="japaneseCounting"/>
      <w:lvlText w:val="（%1）"/>
      <w:lvlJc w:val="left"/>
      <w:pPr>
        <w:ind w:left="870" w:hanging="8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2230412"/>
    <w:multiLevelType w:val="multilevel"/>
    <w:tmpl w:val="42230412"/>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5">
    <w:nsid w:val="50FB64D4"/>
    <w:multiLevelType w:val="multilevel"/>
    <w:tmpl w:val="50FB64D4"/>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6">
    <w:nsid w:val="53BD3D02"/>
    <w:multiLevelType w:val="multilevel"/>
    <w:tmpl w:val="53BD3D02"/>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7">
    <w:nsid w:val="57286B88"/>
    <w:multiLevelType w:val="multilevel"/>
    <w:tmpl w:val="57286B88"/>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8">
    <w:nsid w:val="5FE22E09"/>
    <w:multiLevelType w:val="multilevel"/>
    <w:tmpl w:val="5FE22E09"/>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9">
    <w:nsid w:val="746D41E7"/>
    <w:multiLevelType w:val="multilevel"/>
    <w:tmpl w:val="746D41E7"/>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10">
    <w:nsid w:val="7FCB61E5"/>
    <w:multiLevelType w:val="multilevel"/>
    <w:tmpl w:val="7FCB61E5"/>
    <w:lvl w:ilvl="0" w:tentative="0">
      <w:start w:val="1"/>
      <w:numFmt w:val="decimal"/>
      <w:lvlText w:val="%1."/>
      <w:lvlJc w:val="left"/>
      <w:pPr>
        <w:ind w:left="1230" w:hanging="36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num w:numId="1">
    <w:abstractNumId w:val="6"/>
  </w:num>
  <w:num w:numId="2">
    <w:abstractNumId w:val="3"/>
  </w:num>
  <w:num w:numId="3">
    <w:abstractNumId w:val="2"/>
  </w:num>
  <w:num w:numId="4">
    <w:abstractNumId w:val="0"/>
  </w:num>
  <w:num w:numId="5">
    <w:abstractNumId w:val="9"/>
  </w:num>
  <w:num w:numId="6">
    <w:abstractNumId w:val="4"/>
  </w:num>
  <w:num w:numId="7">
    <w:abstractNumId w:val="10"/>
  </w:num>
  <w:num w:numId="8">
    <w:abstractNumId w:val="7"/>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MTQ2MjExNDA5NjI1ZmRkMDc5OGM1ZWExNWNkZmYifQ=="/>
  </w:docVars>
  <w:rsids>
    <w:rsidRoot w:val="00B26357"/>
    <w:rsid w:val="00043AD3"/>
    <w:rsid w:val="000D154F"/>
    <w:rsid w:val="001742D5"/>
    <w:rsid w:val="0019339B"/>
    <w:rsid w:val="001B06AC"/>
    <w:rsid w:val="001D434E"/>
    <w:rsid w:val="001D7C6F"/>
    <w:rsid w:val="0020293E"/>
    <w:rsid w:val="002E4AB8"/>
    <w:rsid w:val="002F07D8"/>
    <w:rsid w:val="00361CFD"/>
    <w:rsid w:val="003B33C9"/>
    <w:rsid w:val="00421295"/>
    <w:rsid w:val="00432E32"/>
    <w:rsid w:val="00444163"/>
    <w:rsid w:val="00467A71"/>
    <w:rsid w:val="004C527A"/>
    <w:rsid w:val="004D4D84"/>
    <w:rsid w:val="00543E58"/>
    <w:rsid w:val="005B6945"/>
    <w:rsid w:val="005F0CB8"/>
    <w:rsid w:val="00624A4E"/>
    <w:rsid w:val="00696044"/>
    <w:rsid w:val="006C213A"/>
    <w:rsid w:val="00747DBD"/>
    <w:rsid w:val="00764C74"/>
    <w:rsid w:val="007C1249"/>
    <w:rsid w:val="00896E91"/>
    <w:rsid w:val="008E6AD4"/>
    <w:rsid w:val="00936862"/>
    <w:rsid w:val="009A0776"/>
    <w:rsid w:val="009B4941"/>
    <w:rsid w:val="009B5077"/>
    <w:rsid w:val="00A9175D"/>
    <w:rsid w:val="00AF2613"/>
    <w:rsid w:val="00AF6A36"/>
    <w:rsid w:val="00B25463"/>
    <w:rsid w:val="00B26357"/>
    <w:rsid w:val="00B374DF"/>
    <w:rsid w:val="00B44154"/>
    <w:rsid w:val="00B551B3"/>
    <w:rsid w:val="00B71146"/>
    <w:rsid w:val="00BA3E1E"/>
    <w:rsid w:val="00BE140E"/>
    <w:rsid w:val="00BF5DD1"/>
    <w:rsid w:val="00D40F26"/>
    <w:rsid w:val="00D978D7"/>
    <w:rsid w:val="00DB5AA6"/>
    <w:rsid w:val="00DF79F2"/>
    <w:rsid w:val="00E506C2"/>
    <w:rsid w:val="00F03062"/>
    <w:rsid w:val="00F05D63"/>
    <w:rsid w:val="00F85709"/>
    <w:rsid w:val="00FB2C8C"/>
    <w:rsid w:val="00FE628B"/>
    <w:rsid w:val="04E33E82"/>
    <w:rsid w:val="0A910C84"/>
    <w:rsid w:val="0DB666B3"/>
    <w:rsid w:val="0EFF06BE"/>
    <w:rsid w:val="109655A7"/>
    <w:rsid w:val="170B4447"/>
    <w:rsid w:val="17B1467D"/>
    <w:rsid w:val="1859019C"/>
    <w:rsid w:val="1A6F51CB"/>
    <w:rsid w:val="1B3A548A"/>
    <w:rsid w:val="1CC26358"/>
    <w:rsid w:val="215E7BA7"/>
    <w:rsid w:val="23145FBC"/>
    <w:rsid w:val="237F451D"/>
    <w:rsid w:val="245C3C5B"/>
    <w:rsid w:val="26B9069B"/>
    <w:rsid w:val="2754465E"/>
    <w:rsid w:val="28FA7AB2"/>
    <w:rsid w:val="2A0552F1"/>
    <w:rsid w:val="2BA47DCD"/>
    <w:rsid w:val="30436698"/>
    <w:rsid w:val="307A495F"/>
    <w:rsid w:val="32FB15CC"/>
    <w:rsid w:val="38D67910"/>
    <w:rsid w:val="3BAC27A9"/>
    <w:rsid w:val="3C6F2CB1"/>
    <w:rsid w:val="3D8A3E9E"/>
    <w:rsid w:val="3DEA7081"/>
    <w:rsid w:val="43E80703"/>
    <w:rsid w:val="4478026A"/>
    <w:rsid w:val="44D324F7"/>
    <w:rsid w:val="48EF5232"/>
    <w:rsid w:val="4BD218D8"/>
    <w:rsid w:val="4E0E7D0D"/>
    <w:rsid w:val="50755107"/>
    <w:rsid w:val="524F6A06"/>
    <w:rsid w:val="52843C02"/>
    <w:rsid w:val="548D6173"/>
    <w:rsid w:val="58C17B9F"/>
    <w:rsid w:val="5B2C3641"/>
    <w:rsid w:val="5BAC56BA"/>
    <w:rsid w:val="5BAD5662"/>
    <w:rsid w:val="5DE11505"/>
    <w:rsid w:val="61B2336B"/>
    <w:rsid w:val="67B76AB7"/>
    <w:rsid w:val="67B7762E"/>
    <w:rsid w:val="7108119A"/>
    <w:rsid w:val="743222E9"/>
    <w:rsid w:val="743D5FEE"/>
    <w:rsid w:val="785B410D"/>
    <w:rsid w:val="7A074554"/>
    <w:rsid w:val="7B3922A9"/>
    <w:rsid w:val="7CD67CE7"/>
    <w:rsid w:val="7D82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paragraph" w:styleId="10">
    <w:name w:val="List Paragraph"/>
    <w:basedOn w:val="1"/>
    <w:qFormat/>
    <w:uiPriority w:val="0"/>
    <w:pPr>
      <w:ind w:firstLine="420" w:firstLineChars="200"/>
    </w:pPr>
  </w:style>
  <w:style w:type="paragraph" w:customStyle="1" w:styleId="11">
    <w:name w:val="msolistparagraph"/>
    <w:basedOn w:val="1"/>
    <w:qFormat/>
    <w:uiPriority w:val="0"/>
    <w:pPr>
      <w:ind w:firstLine="420" w:firstLineChars="200"/>
    </w:p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uiPriority w:val="0"/>
    <w:rPr>
      <w:kern w:val="2"/>
      <w:sz w:val="18"/>
      <w:szCs w:val="18"/>
    </w:rPr>
  </w:style>
  <w:style w:type="paragraph" w:customStyle="1" w:styleId="14">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文字 字符"/>
    <w:basedOn w:val="8"/>
    <w:link w:val="2"/>
    <w:qFormat/>
    <w:uiPriority w:val="0"/>
    <w:rPr>
      <w:kern w:val="2"/>
      <w:sz w:val="21"/>
      <w:szCs w:val="24"/>
    </w:rPr>
  </w:style>
  <w:style w:type="character" w:customStyle="1" w:styleId="16">
    <w:name w:val="批注主题 字符"/>
    <w:basedOn w:val="15"/>
    <w:link w:val="6"/>
    <w:qFormat/>
    <w:uiPriority w:val="0"/>
    <w:rPr>
      <w:b/>
      <w:bCs/>
      <w:kern w:val="2"/>
      <w:sz w:val="21"/>
      <w:szCs w:val="24"/>
    </w:rPr>
  </w:style>
  <w:style w:type="character" w:customStyle="1" w:styleId="17">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1499</Words>
  <Characters>1533</Characters>
  <Lines>11</Lines>
  <Paragraphs>3</Paragraphs>
  <TotalTime>1</TotalTime>
  <ScaleCrop>false</ScaleCrop>
  <LinksUpToDate>false</LinksUpToDate>
  <CharactersWithSpaces>1535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2024-09-09T00:50:00Z</dcterms:created>
  <dc:creator>Administrator.USER-20190227GT</dc:creator>
  <cp:lastModifiedBy>Stephanie.</cp:lastModifiedBy>
  <cp:lastPrinted>2021-04-13T08:47:00Z</cp:lastPrinted>
  <dcterms:modified xsi:type="dcterms:W3CDTF">2024-10-09T03:25:57Z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30585FEAFE664056AE4D9014A0BAE12C_13</vt:lpwstr>
  </property>
</Properties>
</file>