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jc w:val="center"/>
        <w:rPr>
          <w:rFonts w:hint="eastAsia" w:ascii="宋体" w:hAnsi="宋体"/>
          <w:sz w:val="24"/>
        </w:rPr>
      </w:pPr>
      <w:r>
        <w:rPr>
          <w:rFonts w:hint="eastAsia"/>
        </w:rPr>
        <w:drawing>
          <wp:inline distT="0" distB="0" distL="114300" distR="114300">
            <wp:extent cx="2656205" cy="485140"/>
            <wp:effectExtent l="0" t="0" r="10795" b="1016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硕士研究生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招生</w:t>
      </w:r>
      <w:r>
        <w:rPr>
          <w:rFonts w:hint="eastAsia" w:ascii="华文中宋" w:hAnsi="华文中宋" w:eastAsia="华文中宋"/>
          <w:b/>
          <w:sz w:val="44"/>
          <w:szCs w:val="44"/>
        </w:rPr>
        <w:t>考试</w:t>
      </w:r>
    </w:p>
    <w:p>
      <w:pPr>
        <w:widowControl/>
        <w:ind w:firstLine="521" w:firstLineChars="100"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</w:t>
      </w:r>
      <w:r>
        <w:rPr>
          <w:rFonts w:hint="eastAsia" w:ascii="黑体" w:hAnsi="华文中宋" w:eastAsia="黑体"/>
          <w:b/>
          <w:sz w:val="52"/>
          <w:szCs w:val="52"/>
          <w:lang w:val="en-US" w:eastAsia="zh-CN"/>
        </w:rPr>
        <w:t>新媒体前沿</w:t>
      </w:r>
      <w:r>
        <w:rPr>
          <w:rFonts w:hint="eastAsia" w:ascii="黑体" w:hAnsi="华文中宋" w:eastAsia="黑体"/>
          <w:b/>
          <w:sz w:val="52"/>
          <w:szCs w:val="52"/>
        </w:rPr>
        <w:t>》科目大纲</w:t>
      </w:r>
    </w:p>
    <w:p>
      <w:pPr>
        <w:widowControl/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  <w:lang w:val="en-US" w:eastAsia="zh-CN"/>
        </w:rPr>
        <w:t>（</w:t>
      </w:r>
      <w:r>
        <w:rPr>
          <w:rFonts w:hint="eastAsia" w:ascii="黑体" w:hAnsi="宋体" w:eastAsia="黑体"/>
          <w:sz w:val="30"/>
          <w:szCs w:val="30"/>
        </w:rPr>
        <w:t>科目代码：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592</w:t>
      </w:r>
      <w:r>
        <w:rPr>
          <w:rFonts w:hint="eastAsia" w:ascii="黑体" w:hAnsi="宋体" w:eastAsia="黑体"/>
          <w:sz w:val="30"/>
          <w:szCs w:val="30"/>
        </w:rPr>
        <w:t xml:space="preserve"> </w:t>
      </w:r>
      <w:r>
        <w:rPr>
          <w:rFonts w:hint="eastAsia" w:ascii="黑体" w:hAnsi="宋体" w:eastAsia="黑体"/>
          <w:sz w:val="30"/>
          <w:szCs w:val="30"/>
          <w:lang w:eastAsia="zh-CN"/>
        </w:rPr>
        <w:t>）</w:t>
      </w:r>
    </w:p>
    <w:p>
      <w:pPr>
        <w:widowControl/>
        <w:spacing w:line="460" w:lineRule="exact"/>
        <w:jc w:val="center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center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center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center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center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center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center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center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center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center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center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center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center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center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center"/>
        <w:rPr>
          <w:rFonts w:hint="eastAsia" w:ascii="宋体" w:hAnsi="宋体"/>
          <w:sz w:val="24"/>
        </w:rPr>
      </w:pPr>
    </w:p>
    <w:p>
      <w:pPr>
        <w:widowControl/>
        <w:spacing w:line="800" w:lineRule="exact"/>
        <w:ind w:firstLine="1600" w:firstLineChars="500"/>
        <w:jc w:val="both"/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学院名称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盖章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传媒学院</w:t>
      </w:r>
    </w:p>
    <w:p>
      <w:pPr>
        <w:widowControl/>
        <w:spacing w:line="800" w:lineRule="exact"/>
        <w:ind w:firstLine="1600" w:firstLineChars="500"/>
        <w:jc w:val="both"/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编制时间：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>202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  <w:u w:val="single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  <w:u w:val="single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_GB2312" w:hAnsi="宋体" w:eastAsia="仿宋_GB2312"/>
          <w:sz w:val="32"/>
          <w:szCs w:val="32"/>
          <w:u w:val="single"/>
        </w:rPr>
        <w:t>日</w:t>
      </w:r>
    </w:p>
    <w:p>
      <w:pPr>
        <w:widowControl/>
        <w:spacing w:line="800" w:lineRule="exact"/>
        <w:ind w:firstLine="480" w:firstLineChars="200"/>
        <w:jc w:val="center"/>
        <w:rPr>
          <w:rFonts w:hint="eastAsia" w:ascii="宋体" w:hAnsi="宋体"/>
          <w:sz w:val="24"/>
        </w:rPr>
      </w:pPr>
    </w:p>
    <w:p>
      <w:pPr>
        <w:widowControl/>
        <w:jc w:val="center"/>
        <w:rPr>
          <w:rFonts w:hint="eastAsia" w:ascii="黑体" w:hAnsi="华文中宋" w:eastAsia="黑体"/>
          <w:b/>
          <w:sz w:val="30"/>
          <w:szCs w:val="30"/>
        </w:rPr>
      </w:pPr>
    </w:p>
    <w:p>
      <w:pPr>
        <w:widowControl/>
        <w:jc w:val="center"/>
        <w:rPr>
          <w:rFonts w:hint="eastAsia" w:ascii="黑体" w:hAnsi="华文中宋" w:eastAsia="黑体"/>
          <w:b/>
          <w:sz w:val="30"/>
          <w:szCs w:val="30"/>
        </w:rPr>
      </w:pPr>
      <w:r>
        <w:rPr>
          <w:rFonts w:hint="eastAsia" w:ascii="黑体" w:hAnsi="华文中宋" w:eastAsia="黑体"/>
          <w:b/>
          <w:sz w:val="30"/>
          <w:szCs w:val="30"/>
        </w:rPr>
        <w:t>《</w:t>
      </w:r>
      <w:r>
        <w:rPr>
          <w:rFonts w:hint="eastAsia" w:ascii="黑体" w:hAnsi="华文中宋" w:eastAsia="黑体"/>
          <w:b/>
          <w:sz w:val="30"/>
          <w:szCs w:val="30"/>
          <w:lang w:val="en-US" w:eastAsia="zh-CN"/>
        </w:rPr>
        <w:t>新媒体前沿</w:t>
      </w:r>
      <w:r>
        <w:rPr>
          <w:rFonts w:hint="eastAsia" w:ascii="黑体" w:hAnsi="华文中宋" w:eastAsia="黑体"/>
          <w:b/>
          <w:sz w:val="30"/>
          <w:szCs w:val="30"/>
        </w:rPr>
        <w:t>》科目大纲</w:t>
      </w:r>
    </w:p>
    <w:p>
      <w:pPr>
        <w:widowControl/>
        <w:jc w:val="center"/>
        <w:rPr>
          <w:rFonts w:hint="eastAsia" w:ascii="黑体" w:hAnsi="宋体" w:eastAsia="黑体"/>
          <w:sz w:val="30"/>
          <w:szCs w:val="30"/>
          <w:lang w:eastAsia="zh-CN"/>
        </w:rPr>
      </w:pPr>
      <w:r>
        <w:rPr>
          <w:rFonts w:hint="eastAsia" w:ascii="黑体" w:hAnsi="宋体" w:eastAsia="黑体"/>
          <w:sz w:val="30"/>
          <w:szCs w:val="30"/>
          <w:lang w:val="en-US" w:eastAsia="zh-CN"/>
        </w:rPr>
        <w:t xml:space="preserve"> （</w:t>
      </w:r>
      <w:r>
        <w:rPr>
          <w:rFonts w:hint="eastAsia" w:ascii="黑体" w:hAnsi="宋体" w:eastAsia="黑体"/>
          <w:sz w:val="30"/>
          <w:szCs w:val="30"/>
        </w:rPr>
        <w:t>科目代码：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592</w:t>
      </w:r>
      <w:bookmarkStart w:id="0" w:name="_GoBack"/>
      <w:bookmarkEnd w:id="0"/>
      <w:r>
        <w:rPr>
          <w:rFonts w:hint="eastAsia" w:ascii="黑体" w:hAnsi="宋体" w:eastAsia="黑体"/>
          <w:sz w:val="30"/>
          <w:szCs w:val="30"/>
        </w:rPr>
        <w:t xml:space="preserve"> </w:t>
      </w:r>
      <w:r>
        <w:rPr>
          <w:rFonts w:hint="eastAsia" w:ascii="黑体" w:hAnsi="宋体" w:eastAsia="黑体"/>
          <w:sz w:val="30"/>
          <w:szCs w:val="30"/>
          <w:lang w:eastAsia="zh-CN"/>
        </w:rPr>
        <w:t>）</w:t>
      </w:r>
    </w:p>
    <w:p>
      <w:pPr>
        <w:widowControl/>
        <w:jc w:val="center"/>
        <w:rPr>
          <w:rFonts w:hint="eastAsia" w:ascii="黑体" w:hAnsi="宋体" w:eastAsia="黑体"/>
          <w:sz w:val="30"/>
          <w:szCs w:val="30"/>
          <w:lang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right="-17" w:rightChars="0"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一、</w:t>
      </w:r>
      <w:r>
        <w:rPr>
          <w:rFonts w:hint="eastAsia" w:ascii="仿宋_GB2312" w:hAnsi="宋体" w:eastAsia="仿宋_GB2312"/>
          <w:b/>
          <w:sz w:val="28"/>
          <w:szCs w:val="28"/>
        </w:rPr>
        <w:t>考核要求</w:t>
      </w:r>
    </w:p>
    <w:p>
      <w:pPr>
        <w:keepNext w:val="0"/>
        <w:keepLines w:val="0"/>
        <w:widowControl/>
        <w:suppressLineNumbers w:val="0"/>
        <w:spacing w:line="360" w:lineRule="auto"/>
        <w:ind w:firstLine="440" w:firstLineChars="200"/>
        <w:jc w:val="left"/>
        <w:rPr>
          <w:rFonts w:hint="eastAsia" w:ascii="PingFang-SC-Regular" w:hAnsi="PingFang-SC-Regular" w:eastAsia="宋体" w:cs="PingFang-SC-Regular"/>
          <w:sz w:val="22"/>
          <w:szCs w:val="22"/>
          <w:lang w:val="en-US" w:eastAsia="zh-CN"/>
        </w:rPr>
      </w:pPr>
      <w:r>
        <w:rPr>
          <w:rFonts w:hint="eastAsia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《</w:t>
      </w:r>
      <w:r>
        <w:rPr>
          <w:rFonts w:hint="eastAsia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新媒体前沿</w:t>
      </w:r>
      <w:r>
        <w:rPr>
          <w:rFonts w:hint="eastAsia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》考试大纲适用于报考西北师范大学</w:t>
      </w:r>
      <w:r>
        <w:rPr>
          <w:rFonts w:hint="eastAsia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新闻与传播</w:t>
      </w:r>
      <w:r>
        <w:rPr>
          <w:rFonts w:hint="eastAsia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专业硕士研究生入学考试。《</w:t>
      </w:r>
      <w:r>
        <w:rPr>
          <w:rFonts w:hint="eastAsia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新媒体前沿</w:t>
      </w:r>
      <w:r>
        <w:rPr>
          <w:rFonts w:hint="eastAsia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》</w:t>
      </w:r>
      <w:r>
        <w:rPr>
          <w:rFonts w:hint="eastAsia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核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考生对新媒体的基本知识</w:t>
      </w: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eastAsia="zh-CN"/>
        </w:rPr>
        <w:t>、</w:t>
      </w: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理论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的掌握</w:t>
      </w: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以及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综合运用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相关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知识分析解决实际问题的能力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widowControl/>
        <w:numPr>
          <w:ilvl w:val="0"/>
          <w:numId w:val="1"/>
        </w:numPr>
        <w:spacing w:line="360" w:lineRule="auto"/>
        <w:ind w:leftChars="0"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考核评价目标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本课程考试是为西北师范大学所招收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新闻与传播专业硕士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研究生而设置的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同等学力考生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复试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加试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科目。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本科目的考试命题，根据考试大纲考核内容来组配试卷，安排试题重点、内容覆盖面、能力层次和难易度。考试采取闭卷笔试方式，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题型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涉及名词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解释、简答、论述、分析等，以测试学生的理解、分析、应用综合能力为主要考核评价目标。</w:t>
      </w:r>
    </w:p>
    <w:p>
      <w:pPr>
        <w:widowControl/>
        <w:numPr>
          <w:ilvl w:val="0"/>
          <w:numId w:val="1"/>
        </w:numPr>
        <w:spacing w:line="360" w:lineRule="auto"/>
        <w:ind w:leftChars="0"/>
        <w:jc w:val="center"/>
        <w:rPr>
          <w:rFonts w:hint="eastAsia" w:ascii="仿宋_GB2312" w:hAnsi="宋体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lang w:val="en-US" w:eastAsia="zh-CN"/>
        </w:rPr>
        <w:t>考核内容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1.新媒体导论：新媒体的基本问题，新媒体的优势，新媒体给传媒业带来的冲击，纸质媒体还有明天吗，关于新媒体的实证研究一，关于新媒体的实证研究二。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2. 新媒体研究的理论模型：新媒体给新闻传播理论带来的影响，新媒体研究的理论模型。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3. 新媒体用户特征研究：新媒体时代的受众理论：从受众到用户，网民的基本特征分析：由精英走向大众化，网民的心理和行为特征。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4. 新媒体的类型：网络人际传播，网络群体传播与网络组织传播，网络大众传播。</w:t>
      </w:r>
    </w:p>
    <w:p>
      <w:pPr>
        <w:numPr>
          <w:ilvl w:val="0"/>
          <w:numId w:val="0"/>
        </w:numPr>
        <w:spacing w:line="360" w:lineRule="auto"/>
        <w:ind w:left="720" w:leftChars="0" w:hanging="720" w:hangingChars="3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5. Web 1.0时代新媒体的主要形态：搜索引擎，门户网站，电子商务网站。</w:t>
      </w:r>
    </w:p>
    <w:p>
      <w:pPr>
        <w:numPr>
          <w:ilvl w:val="0"/>
          <w:numId w:val="0"/>
        </w:numPr>
        <w:spacing w:line="360" w:lineRule="auto"/>
        <w:ind w:left="719" w:leftChars="228" w:hanging="240" w:hangingChars="1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6. 博客：博客的特点，微博。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7. 微信：微信的发展，微信的社会影响，微信与微博的比较，中国微信发展的量化研究。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8. 社交网站：社交网站的概念、特点及其发展，社交网站对社会的影响，社交网站带来的一些问题。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9. 视频网站：视频网站的概念及特点，视频网站的发展历史，视频网站对传播行业的影响。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10. 新媒体的宏观管理：新媒体带来的负效应，新媒体的管理对策，正确看待新媒体的双刃性，发达国家对互联网的管理。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11. 新媒体舆论成为社会舆论的主体：新媒体舆论的特点，新媒体舆论研究的蝴蝶效应模型，新媒体舆论的生命周期理论模型，微博舆论分析，网络论坛舆论与微博舆论的比较。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12. 新媒体舆情的应对策略：新媒体舆论的管理，新媒体舆情的应对原则，网络舆论发展的新特点及对策。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13. 网络谣言及其管理：谣言的演变，新媒体条件下谣言的传播与消解模型。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14. 新媒体的微观经营：网络广告，电子商务模式，收费服务模式，新媒体行业的马太效应。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15. 新媒体中的著作权保护：新媒体中著作权保护面临的问题，新媒体著作权的法律保护，“避风港”原则和“红旗”原则，新媒体著作权的技术保护，韩寒百度之争。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16.手机媒体：手机媒体的诞生与发展，手机媒体与新闻传播，新一代移动通信技术与大国博弈。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17. 新技术与新媒体的未来：人工智能会取代记者吗，新闻推荐算法。</w:t>
      </w: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eastAsia" w:ascii="仿宋_GB2312" w:hAnsi="宋体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lang w:val="en-US" w:eastAsia="zh-CN"/>
        </w:rPr>
        <w:t>参考书目</w:t>
      </w:r>
    </w:p>
    <w:p>
      <w:pPr>
        <w:numPr>
          <w:ilvl w:val="0"/>
          <w:numId w:val="0"/>
        </w:numPr>
        <w:ind w:leftChars="0"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1.《新媒体概论》（第三版），匡文波，中国人民大学出版社，2019年版。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ingFang-SC-Regular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B17D7"/>
    <w:multiLevelType w:val="singleLevel"/>
    <w:tmpl w:val="B7FB17D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MjhiZDA3ZDYxYTJlNDgzZDY0MDMzZmE0MTkwN2QifQ=="/>
  </w:docVars>
  <w:rsids>
    <w:rsidRoot w:val="38536E9D"/>
    <w:rsid w:val="01E75FA6"/>
    <w:rsid w:val="1C2A6744"/>
    <w:rsid w:val="38536E9D"/>
    <w:rsid w:val="3AF82A8E"/>
    <w:rsid w:val="40244B10"/>
    <w:rsid w:val="478168DD"/>
    <w:rsid w:val="4D625C0F"/>
    <w:rsid w:val="60D85E7B"/>
    <w:rsid w:val="BDAAA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1124</Words>
  <Characters>1161</Characters>
  <Lines>0</Lines>
  <Paragraphs>0</Paragraphs>
  <TotalTime>8</TotalTime>
  <ScaleCrop>false</ScaleCrop>
  <LinksUpToDate>false</LinksUpToDate>
  <CharactersWithSpaces>1242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2024-09-24T12:21:00Z</dcterms:created>
  <dc:creator>石培龙</dc:creator>
  <cp:lastModifiedBy>三三</cp:lastModifiedBy>
  <dcterms:modified xsi:type="dcterms:W3CDTF">2024-10-01T10:04:41Z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A1A88832DF1E408E903A6D72B86DDF4F_13</vt:lpwstr>
  </property>
</Properties>
</file>