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49"/>
        <w:spacing w:before="318" w:line="224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传热学基础</w:t>
      </w:r>
      <w:r>
        <w:rPr>
          <w:sz w:val="30"/>
          <w:szCs w:val="30"/>
          <w:b/>
          <w:bCs/>
          <w:spacing w:val="-2"/>
        </w:rPr>
        <w:t>》考试大纲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81"/>
        <w:spacing w:before="259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74"/>
        <w:spacing w:before="105" w:line="219" w:lineRule="auto"/>
        <w:rPr/>
      </w:pPr>
      <w:r>
        <w:rPr>
          <w:spacing w:val="-3"/>
        </w:rPr>
        <w:t>第四单元科目：试卷满分为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</w:t>
      </w:r>
      <w:r>
        <w:rPr>
          <w:color w:val="FF0000"/>
          <w:spacing w:val="-3"/>
        </w:rPr>
        <w:t>。</w:t>
      </w:r>
    </w:p>
    <w:p>
      <w:pPr>
        <w:pStyle w:val="BodyText"/>
        <w:ind w:left="581"/>
        <w:spacing w:before="265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74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7"/>
        <w:spacing w:before="261" w:line="220" w:lineRule="auto"/>
        <w:outlineLvl w:val="1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2" w:right="4480" w:firstLine="9"/>
        <w:spacing w:before="110" w:line="283" w:lineRule="auto"/>
        <w:jc w:val="both"/>
        <w:rPr/>
      </w:pPr>
      <w:r>
        <w:rPr>
          <w:b/>
          <w:bCs/>
          <w:spacing w:val="-6"/>
        </w:rPr>
        <w:t>导热传热部分，</w:t>
      </w:r>
      <w:r>
        <w:rPr>
          <w:spacing w:val="-6"/>
        </w:rPr>
        <w:t>约占 </w:t>
      </w:r>
      <w:r>
        <w:rPr>
          <w:rFonts w:ascii="Times New Roman" w:hAnsi="Times New Roman" w:eastAsia="Times New Roman" w:cs="Times New Roman"/>
          <w:spacing w:val="-6"/>
        </w:rPr>
        <w:t>20%</w:t>
      </w:r>
      <w:r>
        <w:rPr>
          <w:spacing w:val="-6"/>
        </w:rPr>
        <w:t>。</w:t>
      </w:r>
      <w:r>
        <w:rPr>
          <w:spacing w:val="10"/>
        </w:rPr>
        <w:t xml:space="preserve"> </w:t>
      </w:r>
      <w:r>
        <w:rPr>
          <w:b/>
          <w:bCs/>
          <w:spacing w:val="-5"/>
        </w:rPr>
        <w:t>对流传热部分，</w:t>
      </w:r>
      <w:r>
        <w:rPr>
          <w:spacing w:val="-5"/>
        </w:rPr>
        <w:t>约占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。</w:t>
      </w:r>
      <w:r>
        <w:rPr>
          <w:spacing w:val="6"/>
        </w:rPr>
        <w:t xml:space="preserve"> </w:t>
      </w:r>
      <w:r>
        <w:rPr>
          <w:b/>
          <w:bCs/>
          <w:spacing w:val="-5"/>
        </w:rPr>
        <w:t>辐射传热部分，</w:t>
      </w:r>
      <w:r>
        <w:rPr>
          <w:spacing w:val="-5"/>
        </w:rPr>
        <w:t>约占 </w:t>
      </w:r>
      <w:r>
        <w:rPr>
          <w:rFonts w:ascii="Times New Roman" w:hAnsi="Times New Roman" w:eastAsia="Times New Roman" w:cs="Times New Roman"/>
          <w:spacing w:val="-5"/>
        </w:rPr>
        <w:t>20%</w:t>
      </w:r>
      <w:r>
        <w:rPr>
          <w:spacing w:val="-5"/>
        </w:rPr>
        <w:t>。</w:t>
      </w:r>
      <w:r>
        <w:rPr>
          <w:spacing w:val="6"/>
        </w:rPr>
        <w:t xml:space="preserve"> </w:t>
      </w:r>
      <w:r>
        <w:rPr>
          <w:b/>
          <w:bCs/>
          <w:spacing w:val="-5"/>
        </w:rPr>
        <w:t>综合应用部分，</w:t>
      </w:r>
      <w:r>
        <w:rPr>
          <w:spacing w:val="-5"/>
        </w:rPr>
        <w:t>约占 </w:t>
      </w:r>
      <w:r>
        <w:rPr>
          <w:rFonts w:ascii="Times New Roman" w:hAnsi="Times New Roman" w:eastAsia="Times New Roman" w:cs="Times New Roman"/>
          <w:spacing w:val="-5"/>
        </w:rPr>
        <w:t>40%</w:t>
      </w:r>
      <w:r>
        <w:rPr>
          <w:spacing w:val="-5"/>
        </w:rPr>
        <w:t>。</w:t>
      </w:r>
    </w:p>
    <w:p>
      <w:pPr>
        <w:pStyle w:val="BodyText"/>
        <w:ind w:left="603"/>
        <w:spacing w:before="195" w:line="221" w:lineRule="auto"/>
        <w:outlineLvl w:val="1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584"/>
        <w:spacing w:before="104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587"/>
        <w:spacing w:before="107" w:line="220" w:lineRule="auto"/>
        <w:rPr/>
      </w:pPr>
      <w:r>
        <w:rPr>
          <w:spacing w:val="-1"/>
        </w:rPr>
        <w:t>名词、概念解释；计算题；论述、分析题。</w:t>
      </w:r>
    </w:p>
    <w:p>
      <w:pPr>
        <w:spacing w:line="451" w:lineRule="auto"/>
        <w:rPr>
          <w:rFonts w:ascii="Arial"/>
          <w:sz w:val="21"/>
        </w:rPr>
      </w:pPr>
      <w:r/>
    </w:p>
    <w:p>
      <w:pPr>
        <w:ind w:left="23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588"/>
        <w:spacing w:before="91" w:line="219" w:lineRule="auto"/>
        <w:rPr/>
      </w:pPr>
      <w:r>
        <w:rPr>
          <w:spacing w:val="-1"/>
        </w:rPr>
        <w:t>一、稳态热传导规律、非稳态热传导、热传导问题数值解法</w:t>
      </w:r>
    </w:p>
    <w:p>
      <w:pPr>
        <w:pStyle w:val="BodyText"/>
        <w:ind w:left="26" w:right="13" w:firstLine="562"/>
        <w:spacing w:before="170" w:line="274" w:lineRule="auto"/>
        <w:rPr/>
      </w:pPr>
      <w:r>
        <w:rPr>
          <w:spacing w:val="-4"/>
        </w:rPr>
        <w:t>二、对流传热的理论分析与实验研究基础、单相对流传热实验关</w:t>
      </w:r>
      <w:r>
        <w:rPr>
          <w:spacing w:val="2"/>
        </w:rPr>
        <w:t xml:space="preserve"> </w:t>
      </w:r>
      <w:r>
        <w:rPr>
          <w:spacing w:val="-1"/>
        </w:rPr>
        <w:t>联式、相变对流传热计算</w:t>
      </w:r>
    </w:p>
    <w:p>
      <w:pPr>
        <w:pStyle w:val="BodyText"/>
        <w:ind w:left="584"/>
        <w:spacing w:before="167" w:line="219" w:lineRule="auto"/>
        <w:rPr/>
      </w:pPr>
      <w:r>
        <w:rPr>
          <w:spacing w:val="-1"/>
        </w:rPr>
        <w:t>三、热辐射基本定律和物体辐射特性、辐射传热计算</w:t>
      </w:r>
    </w:p>
    <w:p>
      <w:pPr>
        <w:pStyle w:val="BodyText"/>
        <w:ind w:left="610"/>
        <w:spacing w:before="169" w:line="219" w:lineRule="auto"/>
        <w:rPr/>
      </w:pPr>
      <w:r>
        <w:rPr>
          <w:spacing w:val="-3"/>
        </w:rPr>
        <w:t>四、传热过程分析与换热器热计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2023-09-26T15:48:31Z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2024-10-14T10:24:43</vt:filetime>
  </property>
</Properties>
</file>