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7C810">
      <w:pPr>
        <w:spacing w:line="260" w:lineRule="exact"/>
        <w:ind w:firstLine="435"/>
        <w:rPr>
          <w:rFonts w:hint="eastAsia" w:ascii="宋体" w:hAnsi="宋体"/>
          <w:szCs w:val="21"/>
        </w:rPr>
      </w:pPr>
      <w:bookmarkStart w:id="0" w:name="_GoBack"/>
      <w:bookmarkEnd w:id="0"/>
    </w:p>
    <w:p w14:paraId="5019E9B2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2F13AD32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考试科目名称：中级财务会计         科目代码：821          </w:t>
      </w:r>
    </w:p>
    <w:p w14:paraId="0917B8F3">
      <w:pPr>
        <w:spacing w:line="260" w:lineRule="exact"/>
        <w:ind w:firstLine="435"/>
        <w:rPr>
          <w:rFonts w:hint="eastAsia" w:ascii="宋体" w:hAnsi="宋体"/>
          <w:szCs w:val="21"/>
        </w:rPr>
      </w:pPr>
    </w:p>
    <w:p w14:paraId="59ED0F5B">
      <w:pPr>
        <w:spacing w:line="260" w:lineRule="exact"/>
        <w:ind w:firstLine="840" w:firstLineChars="400"/>
        <w:rPr>
          <w:rFonts w:hint="eastAsia"/>
        </w:rPr>
      </w:pPr>
    </w:p>
    <w:p w14:paraId="21A50505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一、总论</w:t>
      </w:r>
    </w:p>
    <w:p w14:paraId="7AED2A61">
      <w:pPr>
        <w:rPr>
          <w:rFonts w:hint="eastAsia" w:ascii="宋体" w:hAnsi="宋体"/>
          <w:szCs w:val="21"/>
        </w:rPr>
      </w:pPr>
      <w:r>
        <w:rPr>
          <w:rFonts w:hint="eastAsia"/>
          <w:szCs w:val="20"/>
        </w:rPr>
        <w:t>1．</w:t>
      </w:r>
      <w:r>
        <w:rPr>
          <w:rFonts w:hint="eastAsia" w:ascii="宋体" w:hAnsi="宋体"/>
          <w:szCs w:val="21"/>
        </w:rPr>
        <w:t>财务会计的特征</w:t>
      </w:r>
    </w:p>
    <w:p w14:paraId="784F3247">
      <w:pPr>
        <w:rPr>
          <w:rFonts w:hint="eastAsia" w:ascii="宋体" w:hAnsi="宋体"/>
          <w:szCs w:val="21"/>
        </w:rPr>
      </w:pPr>
      <w:r>
        <w:rPr>
          <w:rFonts w:hint="eastAsia"/>
          <w:szCs w:val="20"/>
        </w:rPr>
        <w:t>2．</w:t>
      </w:r>
      <w:r>
        <w:rPr>
          <w:rFonts w:hint="eastAsia" w:ascii="宋体" w:hAnsi="宋体"/>
          <w:szCs w:val="21"/>
        </w:rPr>
        <w:t>财务会计的概念框架</w:t>
      </w:r>
    </w:p>
    <w:p w14:paraId="32913E6C">
      <w:pPr>
        <w:rPr>
          <w:rFonts w:hint="eastAsia" w:ascii="宋体" w:hAnsi="宋体"/>
          <w:szCs w:val="21"/>
        </w:rPr>
      </w:pPr>
      <w:r>
        <w:rPr>
          <w:rFonts w:hint="eastAsia"/>
          <w:szCs w:val="20"/>
        </w:rPr>
        <w:t>3．</w:t>
      </w:r>
      <w:r>
        <w:rPr>
          <w:rFonts w:hint="eastAsia" w:ascii="宋体" w:hAnsi="宋体"/>
          <w:szCs w:val="21"/>
        </w:rPr>
        <w:t>企业会计准则</w:t>
      </w:r>
    </w:p>
    <w:p w14:paraId="6ED0445A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二、货币资金</w:t>
      </w:r>
    </w:p>
    <w:p w14:paraId="3F90BC25">
      <w:pPr>
        <w:rPr>
          <w:rFonts w:hint="eastAsia" w:ascii="宋体" w:hAnsi="宋体"/>
          <w:szCs w:val="21"/>
        </w:rPr>
      </w:pPr>
      <w:r>
        <w:rPr>
          <w:rFonts w:hint="eastAsia"/>
          <w:szCs w:val="20"/>
        </w:rPr>
        <w:t>1．</w:t>
      </w:r>
      <w:r>
        <w:rPr>
          <w:rFonts w:hint="eastAsia" w:ascii="宋体" w:hAnsi="宋体"/>
          <w:szCs w:val="21"/>
        </w:rPr>
        <w:t>现金</w:t>
      </w:r>
    </w:p>
    <w:p w14:paraId="08E3D7E0">
      <w:pPr>
        <w:rPr>
          <w:rFonts w:hint="eastAsia" w:ascii="宋体" w:hAnsi="宋体"/>
          <w:szCs w:val="21"/>
        </w:rPr>
      </w:pPr>
      <w:r>
        <w:rPr>
          <w:rFonts w:hint="eastAsia"/>
          <w:szCs w:val="20"/>
        </w:rPr>
        <w:t>2．</w:t>
      </w:r>
      <w:r>
        <w:rPr>
          <w:rFonts w:hint="eastAsia" w:ascii="宋体" w:hAnsi="宋体"/>
          <w:szCs w:val="21"/>
        </w:rPr>
        <w:t>银行存款</w:t>
      </w:r>
    </w:p>
    <w:p w14:paraId="52440EF7">
      <w:pPr>
        <w:rPr>
          <w:rFonts w:hint="eastAsia" w:ascii="宋体" w:hAnsi="宋体"/>
          <w:szCs w:val="21"/>
        </w:rPr>
      </w:pPr>
      <w:r>
        <w:rPr>
          <w:rFonts w:hint="eastAsia"/>
          <w:szCs w:val="20"/>
        </w:rPr>
        <w:t>3．</w:t>
      </w:r>
      <w:r>
        <w:rPr>
          <w:rFonts w:hint="eastAsia" w:ascii="宋体" w:hAnsi="宋体"/>
          <w:szCs w:val="21"/>
        </w:rPr>
        <w:t>其他货币资金</w:t>
      </w:r>
    </w:p>
    <w:p w14:paraId="608E42E4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三、应收款项</w:t>
      </w:r>
    </w:p>
    <w:p w14:paraId="0F02349D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  <w:szCs w:val="21"/>
        </w:rPr>
        <w:t>应收票据</w:t>
      </w:r>
    </w:p>
    <w:p w14:paraId="543EA1F4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 w:ascii="宋体" w:hAnsi="宋体"/>
          <w:szCs w:val="21"/>
        </w:rPr>
        <w:t>应收账款</w:t>
      </w:r>
    </w:p>
    <w:p w14:paraId="2C0508A7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预付账款和其他应收款</w:t>
      </w:r>
    </w:p>
    <w:p w14:paraId="763587BF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四、存货</w:t>
      </w:r>
    </w:p>
    <w:p w14:paraId="45FB2118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  <w:szCs w:val="21"/>
        </w:rPr>
        <w:t>存货概述</w:t>
      </w:r>
    </w:p>
    <w:p w14:paraId="6A5C77FB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 w:ascii="宋体" w:hAnsi="宋体"/>
          <w:szCs w:val="21"/>
        </w:rPr>
        <w:t>存货的初始计量</w:t>
      </w:r>
    </w:p>
    <w:p w14:paraId="4AD01268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发出存货的计价</w:t>
      </w:r>
    </w:p>
    <w:p w14:paraId="67740378">
      <w:pPr>
        <w:rPr>
          <w:rFonts w:ascii="宋体" w:hAnsi="宋体"/>
          <w:szCs w:val="21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 w:ascii="宋体" w:hAnsi="宋体"/>
          <w:szCs w:val="21"/>
        </w:rPr>
        <w:t>计划成本法与存货估价法</w:t>
      </w:r>
    </w:p>
    <w:p w14:paraId="7E419897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5．</w:t>
      </w:r>
      <w:r>
        <w:rPr>
          <w:rFonts w:hint="eastAsia" w:ascii="宋体" w:hAnsi="宋体"/>
          <w:szCs w:val="21"/>
        </w:rPr>
        <w:t>存货的期末计量</w:t>
      </w:r>
    </w:p>
    <w:p w14:paraId="6DD7F829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五、金融资产投资</w:t>
      </w:r>
    </w:p>
    <w:p w14:paraId="75D8BFBA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  <w:szCs w:val="21"/>
        </w:rPr>
        <w:t>金融资产投资概述</w:t>
      </w:r>
    </w:p>
    <w:p w14:paraId="4BA67F69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2．以</w:t>
      </w:r>
      <w:r>
        <w:rPr>
          <w:rFonts w:hint="eastAsia" w:ascii="宋体" w:hAnsi="宋体"/>
          <w:szCs w:val="21"/>
        </w:rPr>
        <w:t>摊余成本计量的金融资产</w:t>
      </w:r>
    </w:p>
    <w:p w14:paraId="75DE930A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以公允价值计量且其变动计入其他综合收益的金融资产</w:t>
      </w:r>
    </w:p>
    <w:p w14:paraId="3FCA7FD9">
      <w:pPr>
        <w:rPr>
          <w:rFonts w:ascii="宋体" w:hAnsi="宋体"/>
          <w:szCs w:val="21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 w:ascii="宋体" w:hAnsi="宋体"/>
          <w:szCs w:val="21"/>
        </w:rPr>
        <w:t>以公允价值计量且其变动计入当期损益的金融资产</w:t>
      </w:r>
    </w:p>
    <w:p w14:paraId="24130D15">
      <w:pPr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5．金融资产重分类</w:t>
      </w:r>
    </w:p>
    <w:p w14:paraId="020C250C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6．金融资产减值</w:t>
      </w:r>
    </w:p>
    <w:p w14:paraId="3E06C846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六、长期股权投资及合营安排</w:t>
      </w:r>
    </w:p>
    <w:p w14:paraId="3F18327A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  <w:szCs w:val="21"/>
        </w:rPr>
        <w:t>长期股权投资的初始计量</w:t>
      </w:r>
    </w:p>
    <w:p w14:paraId="739129D8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 w:ascii="宋体" w:hAnsi="宋体"/>
          <w:szCs w:val="21"/>
        </w:rPr>
        <w:t>长期股权投资的后续计量</w:t>
      </w:r>
    </w:p>
    <w:p w14:paraId="2D903895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长期股权投资核算方法的转换</w:t>
      </w:r>
    </w:p>
    <w:p w14:paraId="1B7F0EA5">
      <w:pPr>
        <w:rPr>
          <w:rFonts w:ascii="宋体" w:hAnsi="宋体"/>
          <w:szCs w:val="21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 w:ascii="宋体" w:hAnsi="宋体"/>
          <w:szCs w:val="21"/>
        </w:rPr>
        <w:t>长期股权投资的减值和处置</w:t>
      </w:r>
    </w:p>
    <w:p w14:paraId="1963A245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5．合营安排</w:t>
      </w:r>
    </w:p>
    <w:p w14:paraId="02D402A5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七、固定资产</w:t>
      </w:r>
    </w:p>
    <w:p w14:paraId="40ED2B80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  <w:szCs w:val="21"/>
        </w:rPr>
        <w:t>固定资产概述</w:t>
      </w:r>
    </w:p>
    <w:p w14:paraId="0397AF71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 w:ascii="宋体" w:hAnsi="宋体"/>
          <w:szCs w:val="21"/>
        </w:rPr>
        <w:t>固定资产的确认和初始计量</w:t>
      </w:r>
    </w:p>
    <w:p w14:paraId="41BEE0C4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固定资产的后续计量</w:t>
      </w:r>
    </w:p>
    <w:p w14:paraId="376D8E05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 w:ascii="宋体" w:hAnsi="宋体"/>
          <w:szCs w:val="21"/>
        </w:rPr>
        <w:t>固定资产清查与期末计价</w:t>
      </w:r>
    </w:p>
    <w:p w14:paraId="7B34A2CF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5．</w:t>
      </w:r>
      <w:r>
        <w:rPr>
          <w:rFonts w:hint="eastAsia" w:ascii="宋体" w:hAnsi="宋体"/>
          <w:szCs w:val="21"/>
        </w:rPr>
        <w:t>固定资产的处置</w:t>
      </w:r>
    </w:p>
    <w:p w14:paraId="36BA7C42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八、无形资产</w:t>
      </w:r>
    </w:p>
    <w:p w14:paraId="7431729A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  <w:szCs w:val="21"/>
        </w:rPr>
        <w:t>无形资产概述</w:t>
      </w:r>
    </w:p>
    <w:p w14:paraId="2773C120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 w:ascii="宋体" w:hAnsi="宋体"/>
          <w:szCs w:val="21"/>
        </w:rPr>
        <w:t>无形资产的初始计量</w:t>
      </w:r>
    </w:p>
    <w:p w14:paraId="1E327076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内部研究开发费用的确认</w:t>
      </w:r>
      <w:r>
        <w:rPr>
          <w:rFonts w:hint="eastAsia" w:ascii="宋体" w:hAnsi="宋体"/>
          <w:szCs w:val="21"/>
          <w:lang w:val="en-US" w:eastAsia="zh-CN"/>
        </w:rPr>
        <w:t>和</w:t>
      </w:r>
      <w:r>
        <w:rPr>
          <w:rFonts w:hint="eastAsia" w:ascii="宋体" w:hAnsi="宋体"/>
          <w:szCs w:val="21"/>
        </w:rPr>
        <w:t>计量</w:t>
      </w:r>
    </w:p>
    <w:p w14:paraId="0D209046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 w:ascii="宋体" w:hAnsi="宋体"/>
          <w:szCs w:val="21"/>
        </w:rPr>
        <w:t>无形资产的后续计量</w:t>
      </w:r>
    </w:p>
    <w:p w14:paraId="1AB350A8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5．</w:t>
      </w:r>
      <w:r>
        <w:rPr>
          <w:rFonts w:hint="eastAsia" w:ascii="宋体" w:hAnsi="宋体"/>
          <w:szCs w:val="21"/>
        </w:rPr>
        <w:t>无形资产的处置</w:t>
      </w:r>
    </w:p>
    <w:p w14:paraId="71FCD31A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九、投资性房地产</w:t>
      </w:r>
    </w:p>
    <w:p w14:paraId="2BE1BD63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/>
        </w:rPr>
        <w:t>投资性房地产概述</w:t>
      </w:r>
    </w:p>
    <w:p w14:paraId="03AF39CC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投资性房地产的确认和初始计量</w:t>
      </w:r>
    </w:p>
    <w:p w14:paraId="5DB3B99E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投资性房地产的后续计量</w:t>
      </w:r>
    </w:p>
    <w:p w14:paraId="6732E679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 w:ascii="宋体" w:hAnsi="宋体"/>
          <w:szCs w:val="21"/>
        </w:rPr>
        <w:t>投资性房地产的转换</w:t>
      </w:r>
    </w:p>
    <w:p w14:paraId="586DD71E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5．</w:t>
      </w:r>
      <w:r>
        <w:rPr>
          <w:rFonts w:hint="eastAsia" w:ascii="宋体" w:hAnsi="宋体"/>
          <w:szCs w:val="21"/>
        </w:rPr>
        <w:t>投资性房地产的处置</w:t>
      </w:r>
    </w:p>
    <w:p w14:paraId="6DE10DC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十、非货币性资产交换</w:t>
      </w:r>
    </w:p>
    <w:p w14:paraId="442262ED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/>
        </w:rPr>
        <w:t>非货币性资产交换的认定</w:t>
      </w:r>
    </w:p>
    <w:p w14:paraId="4D843620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非货币性资产交换的确认和计量基础</w:t>
      </w:r>
    </w:p>
    <w:p w14:paraId="3173E930">
      <w:pPr>
        <w:rPr>
          <w:rFonts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非货币性资产交换的会计处理</w:t>
      </w:r>
    </w:p>
    <w:p w14:paraId="2FD341D1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十一、资产减值</w:t>
      </w:r>
    </w:p>
    <w:p w14:paraId="48EFBCEE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  <w:szCs w:val="21"/>
        </w:rPr>
        <w:t>资产减值概述</w:t>
      </w:r>
    </w:p>
    <w:p w14:paraId="2745D486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 w:ascii="宋体" w:hAnsi="宋体"/>
          <w:szCs w:val="21"/>
        </w:rPr>
        <w:t>资产减值损失的确认与计量</w:t>
      </w:r>
    </w:p>
    <w:p w14:paraId="06371525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资产组的认定及减值处理</w:t>
      </w:r>
    </w:p>
    <w:p w14:paraId="63BEF160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 w:ascii="宋体" w:hAnsi="宋体"/>
          <w:szCs w:val="21"/>
        </w:rPr>
        <w:t>商誉减值测试与会计处理</w:t>
      </w:r>
    </w:p>
    <w:p w14:paraId="3233EB28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十二、负债</w:t>
      </w:r>
    </w:p>
    <w:p w14:paraId="03002F1D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  <w:szCs w:val="21"/>
        </w:rPr>
        <w:t>负债概述</w:t>
      </w:r>
    </w:p>
    <w:p w14:paraId="5CC7382B">
      <w:pPr>
        <w:tabs>
          <w:tab w:val="left" w:pos="1980"/>
        </w:tabs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 w:ascii="宋体" w:hAnsi="宋体"/>
          <w:szCs w:val="21"/>
        </w:rPr>
        <w:t>流动负债的确认与计量</w:t>
      </w:r>
    </w:p>
    <w:p w14:paraId="3DB549E3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非流动负债的确认</w:t>
      </w:r>
      <w:r>
        <w:rPr>
          <w:rFonts w:hint="eastAsia" w:ascii="宋体" w:hAnsi="宋体"/>
          <w:szCs w:val="21"/>
          <w:lang w:val="en-US" w:eastAsia="zh-CN"/>
        </w:rPr>
        <w:t>和</w:t>
      </w:r>
      <w:r>
        <w:rPr>
          <w:rFonts w:hint="eastAsia" w:ascii="宋体" w:hAnsi="宋体"/>
          <w:szCs w:val="21"/>
        </w:rPr>
        <w:t>计量</w:t>
      </w:r>
    </w:p>
    <w:p w14:paraId="474AF141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 w:ascii="宋体" w:hAnsi="宋体"/>
          <w:szCs w:val="21"/>
        </w:rPr>
        <w:t>或有事项</w:t>
      </w:r>
    </w:p>
    <w:p w14:paraId="418A20B3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5．</w:t>
      </w:r>
      <w:r>
        <w:rPr>
          <w:rFonts w:hint="eastAsia" w:ascii="宋体" w:hAnsi="宋体"/>
          <w:szCs w:val="21"/>
        </w:rPr>
        <w:t>借款费用</w:t>
      </w:r>
    </w:p>
    <w:p w14:paraId="53DB1B9E">
      <w:pPr>
        <w:rPr>
          <w:rFonts w:ascii="宋体" w:hAnsi="宋体"/>
          <w:szCs w:val="21"/>
        </w:rPr>
      </w:pPr>
      <w:r>
        <w:rPr>
          <w:rFonts w:hint="eastAsia"/>
          <w:color w:val="000000"/>
          <w:szCs w:val="20"/>
        </w:rPr>
        <w:t>6．</w:t>
      </w:r>
      <w:r>
        <w:rPr>
          <w:rFonts w:hint="eastAsia" w:ascii="宋体" w:hAnsi="宋体"/>
          <w:szCs w:val="21"/>
        </w:rPr>
        <w:t>债务重组</w:t>
      </w:r>
    </w:p>
    <w:p w14:paraId="41C3E832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7．</w:t>
      </w:r>
      <w:r>
        <w:rPr>
          <w:rFonts w:hint="eastAsia" w:ascii="宋体" w:hAnsi="宋体"/>
          <w:szCs w:val="21"/>
        </w:rPr>
        <w:t>现金结算的股份支付</w:t>
      </w:r>
    </w:p>
    <w:p w14:paraId="72E77B2C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十三、所有者权益</w:t>
      </w:r>
    </w:p>
    <w:p w14:paraId="65DCC10A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  <w:szCs w:val="21"/>
        </w:rPr>
        <w:t>所有者权益概述</w:t>
      </w:r>
    </w:p>
    <w:p w14:paraId="70415A72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 w:ascii="宋体" w:hAnsi="宋体"/>
          <w:szCs w:val="21"/>
        </w:rPr>
        <w:t>实收资本和其他权益工具</w:t>
      </w:r>
    </w:p>
    <w:p w14:paraId="1DEE1C0F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资本公积和其他综合收益</w:t>
      </w:r>
    </w:p>
    <w:p w14:paraId="061E66B1">
      <w:pPr>
        <w:rPr>
          <w:rFonts w:ascii="宋体" w:hAnsi="宋体"/>
          <w:szCs w:val="21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 w:ascii="宋体" w:hAnsi="宋体"/>
          <w:szCs w:val="21"/>
        </w:rPr>
        <w:t>留存收益</w:t>
      </w:r>
    </w:p>
    <w:p w14:paraId="52E1DF54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5．</w:t>
      </w:r>
      <w:r>
        <w:rPr>
          <w:rFonts w:hint="eastAsia" w:ascii="宋体" w:hAnsi="宋体"/>
          <w:szCs w:val="21"/>
        </w:rPr>
        <w:t>权益结算的股份支付</w:t>
      </w:r>
    </w:p>
    <w:p w14:paraId="163C0566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十四、收入</w:t>
      </w:r>
    </w:p>
    <w:p w14:paraId="43998BE5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  <w:szCs w:val="21"/>
        </w:rPr>
        <w:t>收入概述</w:t>
      </w:r>
    </w:p>
    <w:p w14:paraId="125C2B63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 w:ascii="宋体" w:hAnsi="宋体"/>
          <w:szCs w:val="21"/>
        </w:rPr>
        <w:t>收入的确认和计量</w:t>
      </w:r>
    </w:p>
    <w:p w14:paraId="3AF8635C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3．特定交易的会计处理</w:t>
      </w:r>
    </w:p>
    <w:p w14:paraId="268AB5AF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十五、费用与利润</w:t>
      </w:r>
    </w:p>
    <w:p w14:paraId="3943B781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/>
        </w:rPr>
        <w:t>费用</w:t>
      </w:r>
    </w:p>
    <w:p w14:paraId="2A3D75D5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利润</w:t>
      </w:r>
    </w:p>
    <w:p w14:paraId="3DCE7F5D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所得税</w:t>
      </w:r>
    </w:p>
    <w:p w14:paraId="17E67FA4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十六、财务报告</w:t>
      </w:r>
    </w:p>
    <w:p w14:paraId="3D7AF423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  <w:szCs w:val="21"/>
        </w:rPr>
        <w:t>财务报告概述</w:t>
      </w:r>
    </w:p>
    <w:p w14:paraId="3518FC21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 w:ascii="宋体" w:hAnsi="宋体"/>
          <w:szCs w:val="21"/>
        </w:rPr>
        <w:t>资产负债表</w:t>
      </w:r>
    </w:p>
    <w:p w14:paraId="64AF1520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利润表</w:t>
      </w:r>
    </w:p>
    <w:p w14:paraId="10F86302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 w:ascii="宋体" w:hAnsi="宋体"/>
          <w:szCs w:val="21"/>
        </w:rPr>
        <w:t>现金流量表</w:t>
      </w:r>
    </w:p>
    <w:p w14:paraId="6FDD758E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5．</w:t>
      </w:r>
      <w:r>
        <w:rPr>
          <w:rFonts w:hint="eastAsia" w:ascii="宋体" w:hAnsi="宋体"/>
          <w:szCs w:val="21"/>
        </w:rPr>
        <w:t>所有者权益变动表</w:t>
      </w:r>
    </w:p>
    <w:p w14:paraId="48FC08C8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6．</w:t>
      </w:r>
      <w:r>
        <w:rPr>
          <w:rFonts w:hint="eastAsia" w:ascii="宋体" w:hAnsi="宋体"/>
          <w:szCs w:val="21"/>
        </w:rPr>
        <w:t>财务报表附注</w:t>
      </w:r>
    </w:p>
    <w:p w14:paraId="3FB5FC5D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十七、会计调整</w:t>
      </w:r>
    </w:p>
    <w:p w14:paraId="2B04741D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  <w:szCs w:val="21"/>
        </w:rPr>
        <w:t>会计政策及其变更</w:t>
      </w:r>
    </w:p>
    <w:p w14:paraId="1911EEFA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 w:ascii="宋体" w:hAnsi="宋体"/>
          <w:szCs w:val="21"/>
        </w:rPr>
        <w:t>会计估计及其变更</w:t>
      </w:r>
    </w:p>
    <w:p w14:paraId="6EB590C3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 w:ascii="宋体" w:hAnsi="宋体"/>
          <w:szCs w:val="21"/>
        </w:rPr>
        <w:t>会计差错的更正</w:t>
      </w:r>
    </w:p>
    <w:p w14:paraId="5FEC5720">
      <w:pPr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 w:ascii="宋体" w:hAnsi="宋体"/>
          <w:szCs w:val="21"/>
        </w:rPr>
        <w:t>资产负债表日后事项</w:t>
      </w:r>
    </w:p>
    <w:p w14:paraId="3AED3EF9">
      <w:pPr>
        <w:rPr>
          <w:rFonts w:hint="eastAsia" w:ascii="宋体" w:hAnsi="宋体"/>
          <w:szCs w:val="21"/>
        </w:rPr>
      </w:pPr>
    </w:p>
    <w:p w14:paraId="696D5AAD">
      <w:pPr>
        <w:ind w:firstLine="211" w:firstLineChars="1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参考书目：</w:t>
      </w:r>
    </w:p>
    <w:p w14:paraId="6360BB3F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《中级财务会计》，祝素月，经济科学出版社，2022年04月</w:t>
      </w:r>
    </w:p>
    <w:p w14:paraId="6F86CB0B">
      <w:pPr>
        <w:ind w:firstLine="211" w:firstLineChars="1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补充说明：</w:t>
      </w:r>
    </w:p>
    <w:p w14:paraId="5ED393DB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涉及到会计实务的内容，以新颁布及修订的《企业会计准则》为准。</w:t>
      </w:r>
    </w:p>
    <w:sectPr>
      <w:footerReference r:id="rId3" w:type="default"/>
      <w:footerReference r:id="rId4" w:type="even"/>
      <w:pgSz w:w="10433" w:h="14742"/>
      <w:pgMar w:top="567" w:right="851" w:bottom="737" w:left="1620" w:header="851" w:footer="992" w:gutter="0"/>
      <w:pgNumType w:start="1" w:chapStyle="1" w:chapSep="e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D481B">
    <w:pPr>
      <w:pStyle w:val="4"/>
      <w:jc w:val="center"/>
    </w:pPr>
    <w:r>
      <w:rPr>
        <w:rFonts w:hint="eastAsia"/>
        <w:kern w:val="0"/>
        <w:szCs w:val="21"/>
      </w:rPr>
      <w:t>第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  <w:lang/>
      </w:rPr>
      <w:t>1</w:t>
    </w:r>
    <w:r>
      <w:rPr>
        <w:rStyle w:val="11"/>
      </w:rPr>
      <w:fldChar w:fldCharType="end"/>
    </w:r>
    <w:r>
      <w:rPr>
        <w:rFonts w:hint="eastAsia"/>
        <w:kern w:val="0"/>
        <w:szCs w:val="21"/>
      </w:rPr>
      <w:t>页 共</w:t>
    </w:r>
    <w:r>
      <w:rPr>
        <w:rStyle w:val="11"/>
      </w:rPr>
      <w:fldChar w:fldCharType="begin"/>
    </w:r>
    <w:r>
      <w:rPr>
        <w:rStyle w:val="11"/>
      </w:rPr>
      <w:instrText xml:space="preserve"> NUMPAGES </w:instrText>
    </w:r>
    <w:r>
      <w:rPr>
        <w:rStyle w:val="11"/>
      </w:rPr>
      <w:fldChar w:fldCharType="separate"/>
    </w:r>
    <w:r>
      <w:rPr>
        <w:rStyle w:val="11"/>
        <w:lang/>
      </w:rPr>
      <w:t>3</w:t>
    </w:r>
    <w:r>
      <w:rPr>
        <w:rStyle w:val="1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DF77F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D17FFA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4A"/>
    <w:rsid w:val="0002161A"/>
    <w:rsid w:val="0004009E"/>
    <w:rsid w:val="00063636"/>
    <w:rsid w:val="000728C5"/>
    <w:rsid w:val="00085A84"/>
    <w:rsid w:val="000C18FB"/>
    <w:rsid w:val="000D3CE0"/>
    <w:rsid w:val="001011F2"/>
    <w:rsid w:val="00120FDD"/>
    <w:rsid w:val="00135E8F"/>
    <w:rsid w:val="00137370"/>
    <w:rsid w:val="001417AD"/>
    <w:rsid w:val="001B011E"/>
    <w:rsid w:val="0022195F"/>
    <w:rsid w:val="00221989"/>
    <w:rsid w:val="00227BBD"/>
    <w:rsid w:val="002A764E"/>
    <w:rsid w:val="002B444D"/>
    <w:rsid w:val="0031467D"/>
    <w:rsid w:val="00352C1B"/>
    <w:rsid w:val="0036361A"/>
    <w:rsid w:val="00364BED"/>
    <w:rsid w:val="00373124"/>
    <w:rsid w:val="003C5491"/>
    <w:rsid w:val="003F332B"/>
    <w:rsid w:val="0040261D"/>
    <w:rsid w:val="00424A39"/>
    <w:rsid w:val="00477D87"/>
    <w:rsid w:val="004A1C9D"/>
    <w:rsid w:val="004A67FF"/>
    <w:rsid w:val="004C300A"/>
    <w:rsid w:val="004D7F94"/>
    <w:rsid w:val="00517639"/>
    <w:rsid w:val="00521109"/>
    <w:rsid w:val="0057285F"/>
    <w:rsid w:val="00575715"/>
    <w:rsid w:val="005A4D95"/>
    <w:rsid w:val="006235BF"/>
    <w:rsid w:val="006764AA"/>
    <w:rsid w:val="006818A0"/>
    <w:rsid w:val="00683FD9"/>
    <w:rsid w:val="00683FE4"/>
    <w:rsid w:val="006B2AD6"/>
    <w:rsid w:val="006B51A5"/>
    <w:rsid w:val="006C1CFB"/>
    <w:rsid w:val="006C2CDB"/>
    <w:rsid w:val="006E26AE"/>
    <w:rsid w:val="0073784A"/>
    <w:rsid w:val="00743495"/>
    <w:rsid w:val="00793090"/>
    <w:rsid w:val="007A246B"/>
    <w:rsid w:val="007A2D84"/>
    <w:rsid w:val="007B313F"/>
    <w:rsid w:val="007D27AB"/>
    <w:rsid w:val="007E702C"/>
    <w:rsid w:val="007F663A"/>
    <w:rsid w:val="008150E1"/>
    <w:rsid w:val="008322EB"/>
    <w:rsid w:val="00842E94"/>
    <w:rsid w:val="00843F14"/>
    <w:rsid w:val="00854C3F"/>
    <w:rsid w:val="00872A20"/>
    <w:rsid w:val="0087623E"/>
    <w:rsid w:val="0089493A"/>
    <w:rsid w:val="008F7870"/>
    <w:rsid w:val="00910E07"/>
    <w:rsid w:val="00913950"/>
    <w:rsid w:val="0092163F"/>
    <w:rsid w:val="00921F3A"/>
    <w:rsid w:val="00952E24"/>
    <w:rsid w:val="00956039"/>
    <w:rsid w:val="00963558"/>
    <w:rsid w:val="00974699"/>
    <w:rsid w:val="009A1803"/>
    <w:rsid w:val="009A5159"/>
    <w:rsid w:val="009A671D"/>
    <w:rsid w:val="009C045E"/>
    <w:rsid w:val="009C1CC3"/>
    <w:rsid w:val="009E388C"/>
    <w:rsid w:val="009F2636"/>
    <w:rsid w:val="00A2481F"/>
    <w:rsid w:val="00A6768D"/>
    <w:rsid w:val="00AA665F"/>
    <w:rsid w:val="00AB5088"/>
    <w:rsid w:val="00AD0467"/>
    <w:rsid w:val="00B03E78"/>
    <w:rsid w:val="00B23755"/>
    <w:rsid w:val="00B56371"/>
    <w:rsid w:val="00B657F3"/>
    <w:rsid w:val="00B66AC4"/>
    <w:rsid w:val="00B76DA3"/>
    <w:rsid w:val="00B7784F"/>
    <w:rsid w:val="00BA29F6"/>
    <w:rsid w:val="00BB1D10"/>
    <w:rsid w:val="00BC7126"/>
    <w:rsid w:val="00C23A92"/>
    <w:rsid w:val="00C41580"/>
    <w:rsid w:val="00C45BC3"/>
    <w:rsid w:val="00C45C26"/>
    <w:rsid w:val="00C46500"/>
    <w:rsid w:val="00C6005D"/>
    <w:rsid w:val="00C65214"/>
    <w:rsid w:val="00C748B1"/>
    <w:rsid w:val="00CA7F60"/>
    <w:rsid w:val="00CD12DD"/>
    <w:rsid w:val="00CD1B04"/>
    <w:rsid w:val="00CD601A"/>
    <w:rsid w:val="00CF55CD"/>
    <w:rsid w:val="00D11376"/>
    <w:rsid w:val="00D215EB"/>
    <w:rsid w:val="00D27DB1"/>
    <w:rsid w:val="00D93B15"/>
    <w:rsid w:val="00DD1CFC"/>
    <w:rsid w:val="00DD7720"/>
    <w:rsid w:val="00DD7C34"/>
    <w:rsid w:val="00E04B93"/>
    <w:rsid w:val="00E22566"/>
    <w:rsid w:val="00E41430"/>
    <w:rsid w:val="00E45684"/>
    <w:rsid w:val="00ED0886"/>
    <w:rsid w:val="00ED566B"/>
    <w:rsid w:val="00F03E5D"/>
    <w:rsid w:val="00F16302"/>
    <w:rsid w:val="00F33836"/>
    <w:rsid w:val="00F74109"/>
    <w:rsid w:val="00F76850"/>
    <w:rsid w:val="00F94FB5"/>
    <w:rsid w:val="00FA5E79"/>
    <w:rsid w:val="00FB55D2"/>
    <w:rsid w:val="00FB7D0A"/>
    <w:rsid w:val="00FD2DC2"/>
    <w:rsid w:val="00FD50BD"/>
    <w:rsid w:val="00FE2F31"/>
    <w:rsid w:val="00FF7A7F"/>
    <w:rsid w:val="36C650EA"/>
    <w:rsid w:val="38927147"/>
    <w:rsid w:val="46D55076"/>
    <w:rsid w:val="5F9863C8"/>
    <w:rsid w:val="68AC01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exact"/>
      <w:ind w:firstLine="480"/>
    </w:pPr>
    <w:rPr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iPriority w:val="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7">
    <w:name w:val="toc 2"/>
    <w:basedOn w:val="1"/>
    <w:next w:val="1"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1191</Characters>
  <Lines>9</Lines>
  <Paragraphs>2</Paragraphs>
  <TotalTime>5</TotalTime>
  <ScaleCrop>false</ScaleCrop>
  <LinksUpToDate>false</LinksUpToDate>
  <CharactersWithSpaces>1397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2024-07-02T08:23:00Z</dcterms:created>
  <cp:lastModifiedBy>vertesyuan</cp:lastModifiedBy>
  <cp:lastPrinted>2012-09-18T06:09:00Z</cp:lastPrinted>
  <dcterms:modified xsi:type="dcterms:W3CDTF">2024-10-11T03:00:24Z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E0EABEE331D14D5289244DB89668B138_13</vt:lpwstr>
  </property>
</Properties>
</file>