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杭州电子科技大学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全国硕士研究生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招生</w:t>
      </w:r>
      <w:r>
        <w:rPr>
          <w:rFonts w:hint="eastAsia" w:ascii="宋体" w:hAnsi="宋体" w:eastAsia="宋体" w:cs="宋体"/>
          <w:b/>
          <w:bCs/>
          <w:sz w:val="28"/>
        </w:rPr>
        <w:t>考试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</w:rPr>
        <w:t>业务课考试大纲</w:t>
      </w:r>
    </w:p>
    <w:p>
      <w:pPr>
        <w:spacing w:line="500" w:lineRule="exact"/>
        <w:jc w:val="center"/>
        <w:rPr>
          <w:rFonts w:hint="default" w:ascii="宋体" w:hAnsi="宋体" w:eastAsia="宋体" w:cs="宋体"/>
          <w:b/>
          <w:bCs/>
          <w:sz w:val="28"/>
          <w:lang w:val="en-US"/>
        </w:rPr>
      </w:pPr>
      <w:r>
        <w:rPr>
          <w:rFonts w:hint="default" w:ascii="宋体" w:hAnsi="宋体" w:cs="宋体"/>
          <w:b/>
          <w:bCs/>
          <w:sz w:val="28"/>
          <w:u w:val="single"/>
          <w:lang w:val="en-US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考试科目名称：金融学综合  </w:t>
      </w:r>
      <w:r>
        <w:rPr>
          <w:rFonts w:hint="default" w:ascii="宋体" w:hAnsi="宋体" w:cs="宋体"/>
          <w:b/>
          <w:bCs/>
          <w:sz w:val="28"/>
          <w:u w:val="single"/>
          <w:lang w:val="en-US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>科目代码：</w:t>
      </w:r>
      <w:r>
        <w:rPr>
          <w:rFonts w:hint="default" w:ascii="Times New Roman" w:hAnsi="Times New Roman" w:eastAsia="宋体" w:cs="Times New Roman"/>
          <w:b/>
          <w:bCs/>
          <w:sz w:val="28"/>
          <w:u w:val="single"/>
        </w:rPr>
        <w:t>431</w:t>
      </w:r>
      <w:r>
        <w:rPr>
          <w:rFonts w:hint="default" w:cs="Times New Roman"/>
          <w:b/>
          <w:bCs/>
          <w:sz w:val="28"/>
          <w:u w:val="single"/>
          <w:lang w:val="en-US"/>
        </w:rPr>
        <w:t xml:space="preserve">  </w:t>
      </w:r>
    </w:p>
    <w:p>
      <w:pPr>
        <w:snapToGrid w:val="0"/>
        <w:spacing w:before="156" w:beforeLines="50" w:after="156" w:afterLines="50"/>
        <w:rPr>
          <w:rFonts w:ascii="宋体" w:hAnsi="宋体"/>
          <w:b/>
          <w:sz w:val="24"/>
        </w:rPr>
      </w:pPr>
    </w:p>
    <w:p>
      <w:pPr>
        <w:snapToGrid w:val="0"/>
        <w:spacing w:before="156" w:beforeLines="50" w:after="156" w:afterLines="5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一、考试性质</w:t>
      </w:r>
    </w:p>
    <w:p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《</w:t>
      </w:r>
      <w:r>
        <w:rPr>
          <w:rFonts w:hint="eastAsia" w:ascii="宋体" w:hAnsi="宋体"/>
          <w:szCs w:val="21"/>
        </w:rPr>
        <w:t>金融</w:t>
      </w:r>
      <w:r>
        <w:rPr>
          <w:rFonts w:ascii="宋体" w:hAnsi="宋体"/>
          <w:szCs w:val="21"/>
        </w:rPr>
        <w:t>学</w:t>
      </w:r>
      <w:r>
        <w:rPr>
          <w:rFonts w:hint="eastAsia" w:ascii="宋体" w:hAnsi="宋体"/>
          <w:szCs w:val="21"/>
        </w:rPr>
        <w:t>综合</w:t>
      </w:r>
      <w:r>
        <w:rPr>
          <w:rFonts w:ascii="宋体" w:hAnsi="宋体"/>
          <w:szCs w:val="21"/>
        </w:rPr>
        <w:t>》考试</w:t>
      </w:r>
      <w:r>
        <w:rPr>
          <w:rFonts w:hint="eastAsia" w:ascii="宋体" w:hAnsi="宋体"/>
          <w:szCs w:val="21"/>
        </w:rPr>
        <w:t>要</w:t>
      </w:r>
      <w:r>
        <w:rPr>
          <w:rFonts w:ascii="宋体" w:hAnsi="宋体"/>
          <w:szCs w:val="21"/>
        </w:rPr>
        <w:t>力求反映</w:t>
      </w:r>
      <w:r>
        <w:rPr>
          <w:rFonts w:hint="eastAsia" w:ascii="宋体" w:hAnsi="宋体"/>
          <w:szCs w:val="21"/>
        </w:rPr>
        <w:t>金融</w:t>
      </w:r>
      <w:r>
        <w:rPr>
          <w:rFonts w:ascii="宋体" w:hAnsi="宋体"/>
          <w:szCs w:val="21"/>
        </w:rPr>
        <w:t>硕士专业学位的特点，科学、公平、准确、规范地测评考生的基本素质和综合能力，选拔具有发展潜力的优秀人才，为国家的经济建设培养具有良好职业道德、具有较强分析与解决实际问题能力的高层次、应用型、复合型的</w:t>
      </w:r>
      <w:r>
        <w:rPr>
          <w:rFonts w:hint="eastAsia" w:ascii="宋体" w:hAnsi="宋体"/>
          <w:szCs w:val="21"/>
        </w:rPr>
        <w:t>金融</w:t>
      </w:r>
      <w:r>
        <w:rPr>
          <w:rFonts w:ascii="宋体" w:hAnsi="宋体"/>
          <w:szCs w:val="21"/>
        </w:rPr>
        <w:t>专业人才。</w:t>
      </w:r>
    </w:p>
    <w:p>
      <w:pPr>
        <w:snapToGrid w:val="0"/>
        <w:spacing w:before="156" w:beforeLines="50" w:after="156" w:afterLines="5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二、考试要求</w:t>
      </w:r>
    </w:p>
    <w:p>
      <w:pPr>
        <w:snapToGrid w:val="0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测试考生对</w:t>
      </w:r>
      <w:r>
        <w:rPr>
          <w:rFonts w:hint="eastAsia" w:ascii="宋体" w:hAnsi="宋体"/>
          <w:szCs w:val="21"/>
        </w:rPr>
        <w:t>于与金融学和公司金融相关</w:t>
      </w:r>
      <w:r>
        <w:rPr>
          <w:rFonts w:ascii="宋体" w:hAnsi="宋体"/>
          <w:szCs w:val="21"/>
        </w:rPr>
        <w:t>的基本概念、基础</w:t>
      </w:r>
      <w:r>
        <w:rPr>
          <w:rFonts w:hint="eastAsia" w:ascii="宋体" w:hAnsi="宋体"/>
          <w:szCs w:val="21"/>
        </w:rPr>
        <w:t>理论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掌握和运用能力</w:t>
      </w:r>
      <w:r>
        <w:rPr>
          <w:rFonts w:ascii="宋体" w:hAnsi="宋体"/>
          <w:szCs w:val="21"/>
        </w:rPr>
        <w:t>。</w:t>
      </w:r>
    </w:p>
    <w:p>
      <w:pPr>
        <w:snapToGrid w:val="0"/>
        <w:spacing w:before="156" w:beforeLines="50" w:after="156" w:afterLines="5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三、考试内容</w:t>
      </w:r>
    </w:p>
    <w:p>
      <w:pPr>
        <w:snapToGrid w:val="0"/>
        <w:ind w:firstLine="120" w:firstLineChars="50"/>
        <w:rPr>
          <w:rFonts w:eastAsia="仿宋_GB2312"/>
          <w:b/>
          <w:sz w:val="24"/>
        </w:rPr>
      </w:pPr>
    </w:p>
    <w:p>
      <w:pPr>
        <w:snapToGrid w:val="0"/>
        <w:jc w:val="center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第一部分  金融学</w:t>
      </w:r>
    </w:p>
    <w:p>
      <w:pPr>
        <w:autoSpaceDE w:val="0"/>
        <w:autoSpaceDN w:val="0"/>
        <w:adjustRightInd w:val="0"/>
        <w:rPr>
          <w:b/>
          <w:szCs w:val="21"/>
        </w:rPr>
      </w:pPr>
    </w:p>
    <w:p>
      <w:pPr>
        <w:autoSpaceDE w:val="0"/>
        <w:autoSpaceDN w:val="0"/>
        <w:adjustRightInd w:val="0"/>
        <w:rPr>
          <w:b/>
          <w:szCs w:val="21"/>
        </w:rPr>
      </w:pPr>
    </w:p>
    <w:p>
      <w:pPr>
        <w:autoSpaceDE w:val="0"/>
        <w:autoSpaceDN w:val="0"/>
        <w:adjustRightInd w:val="0"/>
        <w:ind w:firstLine="420"/>
        <w:rPr>
          <w:b/>
          <w:szCs w:val="21"/>
        </w:rPr>
      </w:pPr>
      <w:r>
        <w:rPr>
          <w:rFonts w:hint="eastAsia"/>
          <w:b/>
          <w:szCs w:val="21"/>
        </w:rPr>
        <w:t>1、金融体系</w:t>
      </w:r>
      <w:r>
        <w:rPr>
          <w:b/>
          <w:szCs w:val="21"/>
        </w:rPr>
        <w:t>概述</w:t>
      </w:r>
    </w:p>
    <w:p>
      <w:pPr>
        <w:autoSpaceDE w:val="0"/>
        <w:autoSpaceDN w:val="0"/>
        <w:adjustRightInd w:val="0"/>
        <w:ind w:left="420" w:firstLine="420"/>
        <w:rPr>
          <w:szCs w:val="21"/>
        </w:rPr>
      </w:pPr>
      <w:r>
        <w:rPr>
          <w:rFonts w:hint="eastAsia" w:ascii="宋体" w:hAnsi="宋体"/>
        </w:rPr>
        <w:t>●</w:t>
      </w:r>
      <w:r>
        <w:rPr>
          <w:rFonts w:hint="eastAsia" w:ascii="宋体" w:hAnsi="宋体"/>
          <w:sz w:val="18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szCs w:val="21"/>
        </w:rPr>
        <w:t>金融市场</w:t>
      </w:r>
      <w:r>
        <w:rPr>
          <w:szCs w:val="21"/>
        </w:rPr>
        <w:t>的功能</w:t>
      </w:r>
    </w:p>
    <w:p>
      <w:pPr>
        <w:autoSpaceDE w:val="0"/>
        <w:autoSpaceDN w:val="0"/>
        <w:adjustRightInd w:val="0"/>
        <w:ind w:left="420" w:firstLine="420"/>
        <w:rPr>
          <w:szCs w:val="21"/>
        </w:rPr>
      </w:pPr>
      <w:r>
        <w:rPr>
          <w:rFonts w:hint="eastAsia" w:ascii="宋体" w:hAnsi="宋体"/>
          <w:szCs w:val="21"/>
        </w:rPr>
        <w:t xml:space="preserve">●  </w:t>
      </w:r>
      <w:r>
        <w:rPr>
          <w:rFonts w:hint="eastAsia"/>
          <w:szCs w:val="21"/>
        </w:rPr>
        <w:t>金融市场</w:t>
      </w:r>
      <w:r>
        <w:rPr>
          <w:szCs w:val="21"/>
        </w:rPr>
        <w:t>的结构</w:t>
      </w:r>
    </w:p>
    <w:p>
      <w:pPr>
        <w:autoSpaceDE w:val="0"/>
        <w:autoSpaceDN w:val="0"/>
        <w:adjustRightInd w:val="0"/>
        <w:ind w:left="420" w:firstLine="420"/>
        <w:rPr>
          <w:szCs w:val="21"/>
        </w:rPr>
      </w:pPr>
      <w:r>
        <w:rPr>
          <w:rFonts w:hint="eastAsia" w:ascii="宋体" w:hAnsi="宋体"/>
          <w:szCs w:val="21"/>
        </w:rPr>
        <w:t>●  金融市场</w:t>
      </w:r>
      <w:r>
        <w:rPr>
          <w:rFonts w:ascii="宋体" w:hAnsi="宋体"/>
          <w:szCs w:val="21"/>
        </w:rPr>
        <w:t>工具</w:t>
      </w:r>
    </w:p>
    <w:p>
      <w:pPr>
        <w:autoSpaceDE w:val="0"/>
        <w:autoSpaceDN w:val="0"/>
        <w:adjustRightInd w:val="0"/>
        <w:ind w:left="420" w:firstLine="420"/>
        <w:rPr>
          <w:szCs w:val="21"/>
        </w:rPr>
      </w:pPr>
      <w:r>
        <w:rPr>
          <w:rFonts w:hint="eastAsia" w:ascii="宋体" w:hAnsi="宋体"/>
          <w:szCs w:val="21"/>
        </w:rPr>
        <w:t xml:space="preserve">●  </w:t>
      </w:r>
      <w:r>
        <w:rPr>
          <w:rFonts w:hint="eastAsia"/>
          <w:szCs w:val="21"/>
        </w:rPr>
        <w:t>金融中介</w:t>
      </w:r>
      <w:r>
        <w:rPr>
          <w:szCs w:val="21"/>
        </w:rPr>
        <w:t>的功能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●  金融</w:t>
      </w:r>
      <w:r>
        <w:rPr>
          <w:rFonts w:ascii="宋体" w:hAnsi="宋体"/>
          <w:szCs w:val="21"/>
        </w:rPr>
        <w:t>中介的类型</w:t>
      </w:r>
    </w:p>
    <w:p>
      <w:pPr>
        <w:autoSpaceDE w:val="0"/>
        <w:autoSpaceDN w:val="0"/>
        <w:adjustRightInd w:val="0"/>
        <w:ind w:left="420" w:firstLine="420"/>
      </w:pPr>
      <w:r>
        <w:rPr>
          <w:rFonts w:hint="eastAsia" w:ascii="宋体" w:hAnsi="宋体"/>
          <w:szCs w:val="21"/>
        </w:rPr>
        <w:t>●  金融</w:t>
      </w:r>
      <w:r>
        <w:rPr>
          <w:rFonts w:ascii="宋体" w:hAnsi="宋体"/>
          <w:szCs w:val="21"/>
        </w:rPr>
        <w:t>体系的监管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ind w:firstLine="420"/>
        <w:rPr>
          <w:b/>
          <w:szCs w:val="21"/>
        </w:rPr>
      </w:pPr>
      <w:r>
        <w:rPr>
          <w:rFonts w:hint="eastAsia"/>
          <w:b/>
          <w:szCs w:val="21"/>
        </w:rPr>
        <w:t>2、货币与货币制度</w:t>
      </w:r>
    </w:p>
    <w:p>
      <w:pPr>
        <w:autoSpaceDE w:val="0"/>
        <w:autoSpaceDN w:val="0"/>
        <w:adjustRightInd w:val="0"/>
        <w:ind w:left="420" w:firstLine="420"/>
        <w:rPr>
          <w:bCs/>
          <w:szCs w:val="21"/>
        </w:rPr>
      </w:pPr>
      <w:r>
        <w:rPr>
          <w:rFonts w:hint="eastAsia"/>
          <w:b/>
          <w:szCs w:val="21"/>
        </w:rPr>
        <w:t xml:space="preserve">●  </w:t>
      </w:r>
      <w:r>
        <w:rPr>
          <w:rFonts w:hint="eastAsia"/>
          <w:bCs/>
          <w:szCs w:val="21"/>
        </w:rPr>
        <w:t>货币的产生和演变</w:t>
      </w:r>
    </w:p>
    <w:p>
      <w:pPr>
        <w:autoSpaceDE w:val="0"/>
        <w:autoSpaceDN w:val="0"/>
        <w:adjustRightInd w:val="0"/>
        <w:ind w:left="420" w:firstLine="420"/>
        <w:rPr>
          <w:bCs/>
          <w:szCs w:val="21"/>
        </w:rPr>
      </w:pPr>
      <w:r>
        <w:rPr>
          <w:rFonts w:hint="eastAsia"/>
          <w:bCs/>
          <w:szCs w:val="21"/>
        </w:rPr>
        <w:t>●  货币的职能</w:t>
      </w:r>
    </w:p>
    <w:p>
      <w:pPr>
        <w:autoSpaceDE w:val="0"/>
        <w:autoSpaceDN w:val="0"/>
        <w:adjustRightInd w:val="0"/>
        <w:ind w:left="420" w:firstLine="420"/>
        <w:rPr>
          <w:bCs/>
          <w:szCs w:val="21"/>
        </w:rPr>
      </w:pPr>
      <w:r>
        <w:rPr>
          <w:rFonts w:hint="eastAsia"/>
          <w:bCs/>
          <w:szCs w:val="21"/>
        </w:rPr>
        <w:t>●  货币的层次和计量</w:t>
      </w:r>
    </w:p>
    <w:p>
      <w:pPr>
        <w:autoSpaceDE w:val="0"/>
        <w:autoSpaceDN w:val="0"/>
        <w:adjustRightInd w:val="0"/>
        <w:ind w:left="420" w:firstLine="420"/>
        <w:rPr>
          <w:bCs/>
          <w:szCs w:val="21"/>
        </w:rPr>
      </w:pPr>
      <w:r>
        <w:rPr>
          <w:rFonts w:hint="eastAsia"/>
          <w:bCs/>
          <w:szCs w:val="21"/>
        </w:rPr>
        <w:t>●  货币制度及其演变</w:t>
      </w:r>
    </w:p>
    <w:p>
      <w:pPr>
        <w:rPr>
          <w:b/>
          <w:szCs w:val="21"/>
        </w:rPr>
      </w:pPr>
    </w:p>
    <w:p>
      <w:pPr>
        <w:ind w:firstLine="420"/>
        <w:rPr>
          <w:rFonts w:hAnsi="宋体"/>
          <w:b/>
          <w:szCs w:val="21"/>
        </w:rPr>
      </w:pPr>
      <w:r>
        <w:rPr>
          <w:rFonts w:hint="eastAsia"/>
          <w:b/>
          <w:szCs w:val="21"/>
        </w:rPr>
        <w:t>3、</w:t>
      </w:r>
      <w:r>
        <w:rPr>
          <w:rFonts w:hint="eastAsia" w:hAnsi="宋体"/>
          <w:b/>
          <w:szCs w:val="21"/>
        </w:rPr>
        <w:t>利率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利息与利率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利率、到期收益率及其计算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资产</w:t>
      </w:r>
      <w:r>
        <w:rPr>
          <w:rFonts w:ascii="宋体" w:hAnsi="宋体"/>
        </w:rPr>
        <w:t>需求的决定因素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债券</w:t>
      </w:r>
      <w:r>
        <w:rPr>
          <w:rFonts w:ascii="宋体" w:hAnsi="宋体"/>
        </w:rPr>
        <w:t>市场的供给和需求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均衡</w:t>
      </w:r>
      <w:r>
        <w:rPr>
          <w:rFonts w:ascii="宋体" w:hAnsi="宋体"/>
        </w:rPr>
        <w:t>利率的变动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流动性</w:t>
      </w:r>
      <w:r>
        <w:rPr>
          <w:rFonts w:ascii="宋体" w:hAnsi="宋体"/>
        </w:rPr>
        <w:t>偏好理论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利率的风险结构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利率</w:t>
      </w:r>
      <w:r>
        <w:rPr>
          <w:rFonts w:ascii="宋体" w:hAnsi="宋体"/>
        </w:rPr>
        <w:t>的</w:t>
      </w:r>
      <w:r>
        <w:rPr>
          <w:rFonts w:hint="eastAsia" w:ascii="宋体" w:hAnsi="宋体"/>
        </w:rPr>
        <w:t>期限结构理论</w:t>
      </w:r>
    </w:p>
    <w:p>
      <w:pPr>
        <w:autoSpaceDE w:val="0"/>
        <w:autoSpaceDN w:val="0"/>
        <w:adjustRightInd w:val="0"/>
      </w:pPr>
    </w:p>
    <w:p>
      <w:pPr>
        <w:ind w:left="216"/>
      </w:pPr>
      <w:r>
        <w:rPr>
          <w:rFonts w:hint="eastAsia" w:hAnsi="宋体"/>
        </w:rPr>
        <w:t xml:space="preserve">  　</w:t>
      </w:r>
    </w:p>
    <w:p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4、汇率与外汇市场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外汇市场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汇率与汇率制度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 xml:space="preserve">●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短期</w:t>
      </w:r>
      <w:r>
        <w:rPr>
          <w:rFonts w:ascii="宋体" w:hAnsi="宋体"/>
        </w:rPr>
        <w:t>汇率的决定</w:t>
      </w:r>
      <w:r>
        <w:rPr>
          <w:rFonts w:hint="eastAsia" w:ascii="宋体" w:hAnsi="宋体"/>
        </w:rPr>
        <w:t xml:space="preserve">  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 xml:space="preserve">●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长期</w:t>
      </w:r>
      <w:r>
        <w:rPr>
          <w:rFonts w:ascii="宋体" w:hAnsi="宋体"/>
        </w:rPr>
        <w:t>汇率</w:t>
      </w:r>
      <w:r>
        <w:rPr>
          <w:rFonts w:hint="eastAsia" w:ascii="宋体" w:hAnsi="宋体"/>
        </w:rPr>
        <w:t>的决定</w:t>
      </w:r>
    </w:p>
    <w:p>
      <w:pPr>
        <w:pStyle w:val="4"/>
        <w:ind w:left="0" w:leftChars="0"/>
      </w:pPr>
    </w:p>
    <w:p>
      <w:pPr>
        <w:pStyle w:val="4"/>
        <w:ind w:left="0" w:leftChars="0" w:firstLine="420"/>
        <w:rPr>
          <w:rFonts w:hAnsi="宋体"/>
          <w:b/>
          <w:szCs w:val="21"/>
        </w:rPr>
      </w:pPr>
      <w:r>
        <w:rPr>
          <w:rFonts w:hint="eastAsia"/>
          <w:b/>
        </w:rPr>
        <w:t>5、</w:t>
      </w:r>
      <w:r>
        <w:rPr>
          <w:rFonts w:hint="eastAsia" w:hAnsi="宋体"/>
          <w:b/>
          <w:szCs w:val="21"/>
        </w:rPr>
        <w:t>金融结构</w:t>
      </w:r>
      <w:r>
        <w:rPr>
          <w:rFonts w:hAnsi="宋体"/>
          <w:b/>
          <w:szCs w:val="21"/>
        </w:rPr>
        <w:t>的经济学分析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金融结构</w:t>
      </w:r>
      <w:r>
        <w:rPr>
          <w:rFonts w:ascii="宋体" w:hAnsi="宋体"/>
        </w:rPr>
        <w:t>的特点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信息</w:t>
      </w:r>
      <w:r>
        <w:rPr>
          <w:rFonts w:ascii="宋体" w:hAnsi="宋体"/>
        </w:rPr>
        <w:t>不</w:t>
      </w:r>
      <w:r>
        <w:rPr>
          <w:rFonts w:hint="eastAsia" w:ascii="宋体" w:hAnsi="宋体"/>
        </w:rPr>
        <w:t>对称</w:t>
      </w:r>
      <w:r>
        <w:rPr>
          <w:rFonts w:ascii="宋体" w:hAnsi="宋体"/>
        </w:rPr>
        <w:t>和交易成本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交易成本与</w:t>
      </w:r>
      <w:r>
        <w:rPr>
          <w:rFonts w:ascii="宋体" w:hAnsi="宋体"/>
        </w:rPr>
        <w:t>金融结构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逆向选择与</w:t>
      </w:r>
      <w:r>
        <w:rPr>
          <w:rFonts w:ascii="宋体" w:hAnsi="宋体"/>
        </w:rPr>
        <w:t>金融结构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道德风险与</w:t>
      </w:r>
      <w:r>
        <w:rPr>
          <w:rFonts w:ascii="宋体" w:hAnsi="宋体"/>
        </w:rPr>
        <w:t>金融结构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金融</w:t>
      </w:r>
      <w:r>
        <w:rPr>
          <w:rFonts w:ascii="宋体" w:hAnsi="宋体"/>
        </w:rPr>
        <w:t>行业内的利益冲突</w:t>
      </w:r>
    </w:p>
    <w:p>
      <w:pPr>
        <w:rPr>
          <w:rFonts w:hAnsi="宋体"/>
        </w:rPr>
      </w:pPr>
    </w:p>
    <w:p>
      <w:pPr>
        <w:tabs>
          <w:tab w:val="left" w:pos="1992"/>
        </w:tabs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6、银行业与金融机构管理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银行的资产负债表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银行的基本业务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银行</w:t>
      </w:r>
      <w:r>
        <w:rPr>
          <w:rFonts w:ascii="宋体" w:hAnsi="宋体"/>
        </w:rPr>
        <w:t>管理的基本原则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银行的风险特征与风险管理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 xml:space="preserve">●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非银行金融机构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金融创新与金融业结构</w:t>
      </w:r>
    </w:p>
    <w:p>
      <w:pPr>
        <w:rPr>
          <w:color w:val="000000"/>
        </w:rPr>
      </w:pPr>
    </w:p>
    <w:p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7、金融监管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金融监管的经济学分析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金融监管的类型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金融监管的国际合作—巴塞尔协议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 xml:space="preserve">●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金融危机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 xml:space="preserve">●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金融监管对金融危机的反应</w:t>
      </w:r>
    </w:p>
    <w:p>
      <w:pPr>
        <w:rPr>
          <w:rFonts w:hAnsi="宋体"/>
        </w:rPr>
      </w:pPr>
    </w:p>
    <w:p>
      <w:pPr>
        <w:ind w:firstLine="420"/>
        <w:rPr>
          <w:b/>
          <w:color w:val="000000"/>
        </w:rPr>
      </w:pPr>
      <w:r>
        <w:rPr>
          <w:rFonts w:hint="eastAsia" w:ascii="宋体" w:hAnsi="宋体"/>
          <w:b/>
          <w:szCs w:val="21"/>
        </w:rPr>
        <w:t>8</w:t>
      </w:r>
      <w:r>
        <w:rPr>
          <w:rFonts w:hint="eastAsia"/>
          <w:b/>
          <w:szCs w:val="21"/>
        </w:rPr>
        <w:t>、货币供给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基础货币的控制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存款货币的多倍创造机制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货币供给的决定因素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货币供给过程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货币</w:t>
      </w:r>
      <w:r>
        <w:rPr>
          <w:rFonts w:ascii="宋体" w:hAnsi="宋体"/>
        </w:rPr>
        <w:t>乘数</w:t>
      </w:r>
    </w:p>
    <w:p>
      <w:pPr>
        <w:rPr>
          <w:b/>
          <w:szCs w:val="21"/>
        </w:rPr>
      </w:pPr>
    </w:p>
    <w:p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9、货币需求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  <w:szCs w:val="21"/>
        </w:rPr>
        <w:t>●</w:t>
      </w:r>
      <w:r>
        <w:rPr>
          <w:rFonts w:hint="eastAsia" w:ascii="宋体" w:hAnsi="宋体"/>
        </w:rPr>
        <w:t xml:space="preserve">  货币数量理论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凯恩斯理论的货币</w:t>
      </w:r>
      <w:r>
        <w:rPr>
          <w:rFonts w:ascii="宋体" w:hAnsi="宋体"/>
        </w:rPr>
        <w:t>理论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弗里德曼</w:t>
      </w:r>
      <w:r>
        <w:rPr>
          <w:rFonts w:ascii="宋体" w:hAnsi="宋体"/>
        </w:rPr>
        <w:t>的货币理论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货币供给与需求的均衡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 xml:space="preserve">●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货币与通货膨胀</w:t>
      </w:r>
    </w:p>
    <w:p>
      <w:pPr>
        <w:autoSpaceDE w:val="0"/>
        <w:autoSpaceDN w:val="0"/>
        <w:adjustRightInd w:val="0"/>
        <w:rPr>
          <w:rFonts w:ascii="宋体" w:hAnsi="宋体"/>
          <w:b/>
          <w:szCs w:val="21"/>
        </w:rPr>
      </w:pPr>
    </w:p>
    <w:p>
      <w:pPr>
        <w:autoSpaceDE w:val="0"/>
        <w:autoSpaceDN w:val="0"/>
        <w:adjustRightInd w:val="0"/>
        <w:ind w:firstLine="420"/>
        <w:rPr>
          <w:b/>
          <w:szCs w:val="21"/>
        </w:rPr>
      </w:pPr>
      <w:r>
        <w:rPr>
          <w:rFonts w:hint="eastAsia" w:ascii="宋体" w:hAnsi="宋体"/>
          <w:b/>
          <w:szCs w:val="21"/>
        </w:rPr>
        <w:t>10、中央银行与货币政策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中央银行的产生、类型、性质和职能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中央银行业务、结构与独立性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货币政策工具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货币政策目标与实施策略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货币政策的传导机制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货币政策与财政政策</w:t>
      </w:r>
    </w:p>
    <w:p>
      <w:pPr>
        <w:rPr>
          <w:rFonts w:hAnsi="宋体"/>
        </w:rPr>
      </w:pPr>
    </w:p>
    <w:p>
      <w:pPr>
        <w:rPr>
          <w:b/>
          <w:bCs/>
          <w:szCs w:val="21"/>
        </w:rPr>
      </w:pPr>
    </w:p>
    <w:p>
      <w:pPr>
        <w:rPr>
          <w:szCs w:val="21"/>
        </w:rPr>
      </w:pPr>
    </w:p>
    <w:p>
      <w:pPr>
        <w:snapToGrid w:val="0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b/>
          <w:sz w:val="28"/>
          <w:szCs w:val="36"/>
        </w:rPr>
      </w:pPr>
      <w:r>
        <w:rPr>
          <w:rFonts w:hint="eastAsia" w:eastAsia="仿宋_GB2312"/>
          <w:b/>
          <w:sz w:val="28"/>
          <w:szCs w:val="36"/>
        </w:rPr>
        <w:t>第二部分　公司金融</w:t>
      </w:r>
    </w:p>
    <w:p>
      <w:pPr>
        <w:jc w:val="center"/>
        <w:rPr>
          <w:rFonts w:hAnsi="宋体"/>
          <w:szCs w:val="21"/>
        </w:rPr>
      </w:pPr>
    </w:p>
    <w:p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1、公司金融导论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  <w:szCs w:val="21"/>
        </w:rPr>
        <w:t xml:space="preserve">● </w:t>
      </w:r>
      <w:r>
        <w:rPr>
          <w:rFonts w:hint="eastAsia" w:ascii="宋体" w:hAnsi="宋体"/>
        </w:rPr>
        <w:t xml:space="preserve"> 公司金融概述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财务管理的目标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委托代理问题和公司控制</w:t>
      </w:r>
    </w:p>
    <w:p>
      <w:pPr>
        <w:rPr>
          <w:rFonts w:ascii="宋体" w:hAnsi="宋体"/>
          <w:szCs w:val="21"/>
        </w:rPr>
      </w:pPr>
    </w:p>
    <w:p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2、财务报表分析与长期财务计划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资产负债表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利润表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现金流量表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比率分析与杜邦恒等式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销售百分比法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外部融资与增长</w:t>
      </w:r>
    </w:p>
    <w:p>
      <w:pPr>
        <w:pStyle w:val="8"/>
        <w:rPr>
          <w:rFonts w:ascii="宋体" w:hAnsi="宋体"/>
          <w:bCs w:val="0"/>
          <w:szCs w:val="21"/>
        </w:rPr>
      </w:pPr>
    </w:p>
    <w:p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3、折现现金流量估算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货币的时间价值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各种类型年金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贷款种类与分期偿还贷款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债券的估值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股票的估值</w:t>
      </w:r>
    </w:p>
    <w:p>
      <w:pPr>
        <w:jc w:val="left"/>
        <w:rPr>
          <w:rFonts w:ascii="宋体" w:hAnsi="宋体"/>
          <w:szCs w:val="21"/>
        </w:rPr>
      </w:pPr>
    </w:p>
    <w:p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4、资本预算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增量现金流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净现值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投资回收期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内部收益率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盈利指数法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投资决策方法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投资风险分析</w:t>
      </w:r>
    </w:p>
    <w:p>
      <w:pPr>
        <w:jc w:val="left"/>
        <w:rPr>
          <w:rFonts w:ascii="宋体" w:hAnsi="宋体"/>
          <w:szCs w:val="21"/>
        </w:rPr>
      </w:pPr>
    </w:p>
    <w:p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5、风险与收益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风险与收益的度量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投资组合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系统性风险和非系统性风险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证券市场线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资本资产定价模型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无套利定价模型</w:t>
      </w:r>
    </w:p>
    <w:p>
      <w:pPr>
        <w:rPr>
          <w:rFonts w:ascii="宋体" w:hAnsi="宋体"/>
          <w:b/>
          <w:szCs w:val="21"/>
        </w:rPr>
      </w:pPr>
    </w:p>
    <w:p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6、资本成本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 xml:space="preserve">●  权益成本 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 xml:space="preserve">●  债务成本和优先股成本 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 xml:space="preserve">●  加权平均资本成本 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 xml:space="preserve">●  部门与项目资本成本 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发行成本与加权平均资本成本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杠杆企业估值</w:t>
      </w:r>
    </w:p>
    <w:p>
      <w:pPr>
        <w:rPr>
          <w:rFonts w:ascii="宋体" w:hAnsi="宋体"/>
          <w:szCs w:val="21"/>
        </w:rPr>
      </w:pPr>
    </w:p>
    <w:p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7、有效市场假说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有效市场类型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市场有效性的基础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市场有效性检验方法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行为金融的挑战</w:t>
      </w:r>
    </w:p>
    <w:p>
      <w:pPr>
        <w:rPr>
          <w:rFonts w:ascii="宋体" w:hAnsi="宋体"/>
          <w:szCs w:val="21"/>
        </w:rPr>
      </w:pPr>
    </w:p>
    <w:p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8、资本结构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财务杠杆效应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MM定理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破产成本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权衡理论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优序融资理论</w:t>
      </w:r>
    </w:p>
    <w:p>
      <w:pPr>
        <w:jc w:val="left"/>
        <w:rPr>
          <w:rFonts w:ascii="宋体" w:hAnsi="宋体"/>
          <w:szCs w:val="21"/>
        </w:rPr>
      </w:pPr>
    </w:p>
    <w:p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9、股利与股利政策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现金股利与股利派发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股利政策的作用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偏爱低股利/高股利的现实因素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股票回购</w:t>
      </w:r>
    </w:p>
    <w:p>
      <w:pPr>
        <w:autoSpaceDE w:val="0"/>
        <w:autoSpaceDN w:val="0"/>
        <w:adjustRightInd w:val="0"/>
        <w:ind w:left="420" w:firstLine="420"/>
        <w:rPr>
          <w:rFonts w:ascii="宋体" w:hAnsi="宋体"/>
        </w:rPr>
      </w:pPr>
      <w:r>
        <w:rPr>
          <w:rFonts w:hint="eastAsia" w:ascii="宋体" w:hAnsi="宋体"/>
        </w:rPr>
        <w:t>●  拆股与反向拆股</w:t>
      </w:r>
    </w:p>
    <w:p>
      <w:pPr>
        <w:snapToGrid w:val="0"/>
        <w:spacing w:before="156" w:beforeLines="50" w:after="156" w:afterLines="50"/>
        <w:ind w:firstLine="422" w:firstLineChars="200"/>
        <w:rPr>
          <w:rFonts w:ascii="宋体" w:hAnsi="宋体"/>
          <w:b/>
          <w:szCs w:val="21"/>
        </w:rPr>
      </w:pPr>
    </w:p>
    <w:p>
      <w:pPr>
        <w:snapToGrid w:val="0"/>
        <w:spacing w:before="156" w:beforeLines="50" w:after="156" w:afterLines="5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四、考试方式与分值</w:t>
      </w:r>
    </w:p>
    <w:p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本科目满分1</w:t>
      </w: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0分，</w:t>
      </w:r>
      <w:r>
        <w:rPr>
          <w:rFonts w:hint="eastAsia" w:ascii="宋体" w:hAnsi="宋体"/>
          <w:szCs w:val="21"/>
        </w:rPr>
        <w:t>其中，金融学部分为90分，公司金融部分为60分，</w:t>
      </w:r>
      <w:r>
        <w:rPr>
          <w:rFonts w:ascii="宋体" w:hAnsi="宋体"/>
          <w:szCs w:val="21"/>
        </w:rPr>
        <w:t>由培养单位自行命题，全国统一考试。</w:t>
      </w:r>
    </w:p>
    <w:p>
      <w:pPr>
        <w:snapToGrid w:val="0"/>
        <w:spacing w:before="156" w:beforeLines="50" w:after="156" w:afterLines="5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五、参考书目</w:t>
      </w:r>
    </w:p>
    <w:p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1.弗雷德里克•S•米什金著，《货币金融学》，中国人民大学出版社，第十二版，2021年6月。</w:t>
      </w:r>
    </w:p>
    <w:p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2.斯蒂芬A.罗斯等著，《公司理财（原书第11版）》，机械工业出版社，2017年8月。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行楷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宋体 CN ExtraLight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73"/>
    <w:rsid w:val="0001421D"/>
    <w:rsid w:val="00021FA3"/>
    <w:rsid w:val="00024489"/>
    <w:rsid w:val="0003280F"/>
    <w:rsid w:val="000328B9"/>
    <w:rsid w:val="00034875"/>
    <w:rsid w:val="00052EA8"/>
    <w:rsid w:val="000557C4"/>
    <w:rsid w:val="00055D21"/>
    <w:rsid w:val="000711A2"/>
    <w:rsid w:val="00090916"/>
    <w:rsid w:val="000A35CB"/>
    <w:rsid w:val="000A66D3"/>
    <w:rsid w:val="000B097D"/>
    <w:rsid w:val="000D4430"/>
    <w:rsid w:val="000F11B0"/>
    <w:rsid w:val="000F40C2"/>
    <w:rsid w:val="001446A2"/>
    <w:rsid w:val="00165A9B"/>
    <w:rsid w:val="00174149"/>
    <w:rsid w:val="00186647"/>
    <w:rsid w:val="001953C2"/>
    <w:rsid w:val="001A2406"/>
    <w:rsid w:val="001B4FB1"/>
    <w:rsid w:val="001C10EC"/>
    <w:rsid w:val="001C1C46"/>
    <w:rsid w:val="001C33B3"/>
    <w:rsid w:val="001C4C73"/>
    <w:rsid w:val="001F3CB7"/>
    <w:rsid w:val="00210ADF"/>
    <w:rsid w:val="00212CC9"/>
    <w:rsid w:val="00227CE3"/>
    <w:rsid w:val="00247CE4"/>
    <w:rsid w:val="00272A70"/>
    <w:rsid w:val="00284679"/>
    <w:rsid w:val="00292B6B"/>
    <w:rsid w:val="00296123"/>
    <w:rsid w:val="002A6483"/>
    <w:rsid w:val="002A774C"/>
    <w:rsid w:val="002B2542"/>
    <w:rsid w:val="002B3BA4"/>
    <w:rsid w:val="002C0744"/>
    <w:rsid w:val="002C4DCF"/>
    <w:rsid w:val="002F02A7"/>
    <w:rsid w:val="002F7EFE"/>
    <w:rsid w:val="00302A25"/>
    <w:rsid w:val="003050D1"/>
    <w:rsid w:val="00314915"/>
    <w:rsid w:val="0031625D"/>
    <w:rsid w:val="00316C96"/>
    <w:rsid w:val="0031785A"/>
    <w:rsid w:val="00337AD0"/>
    <w:rsid w:val="003634F2"/>
    <w:rsid w:val="00363BA2"/>
    <w:rsid w:val="00363D09"/>
    <w:rsid w:val="003848B0"/>
    <w:rsid w:val="003A1ACD"/>
    <w:rsid w:val="003C3C65"/>
    <w:rsid w:val="00405D13"/>
    <w:rsid w:val="004064E1"/>
    <w:rsid w:val="004431CA"/>
    <w:rsid w:val="00445667"/>
    <w:rsid w:val="0044770E"/>
    <w:rsid w:val="004505F0"/>
    <w:rsid w:val="00450F9D"/>
    <w:rsid w:val="00481804"/>
    <w:rsid w:val="00486A5C"/>
    <w:rsid w:val="00492245"/>
    <w:rsid w:val="00496F45"/>
    <w:rsid w:val="004C19E7"/>
    <w:rsid w:val="004E661E"/>
    <w:rsid w:val="004F4209"/>
    <w:rsid w:val="00510607"/>
    <w:rsid w:val="005440C7"/>
    <w:rsid w:val="00570227"/>
    <w:rsid w:val="00570B89"/>
    <w:rsid w:val="00571273"/>
    <w:rsid w:val="00571CA3"/>
    <w:rsid w:val="005735A0"/>
    <w:rsid w:val="00585688"/>
    <w:rsid w:val="005866FE"/>
    <w:rsid w:val="005C475A"/>
    <w:rsid w:val="00612CCD"/>
    <w:rsid w:val="00664CDF"/>
    <w:rsid w:val="00695250"/>
    <w:rsid w:val="006E06D9"/>
    <w:rsid w:val="006E7766"/>
    <w:rsid w:val="006F5961"/>
    <w:rsid w:val="006F7602"/>
    <w:rsid w:val="00711767"/>
    <w:rsid w:val="007523DC"/>
    <w:rsid w:val="0075750C"/>
    <w:rsid w:val="0076611A"/>
    <w:rsid w:val="00776AEA"/>
    <w:rsid w:val="007937EA"/>
    <w:rsid w:val="0079578D"/>
    <w:rsid w:val="007A3F88"/>
    <w:rsid w:val="007A726C"/>
    <w:rsid w:val="007B60AF"/>
    <w:rsid w:val="007C59FB"/>
    <w:rsid w:val="007F0CCC"/>
    <w:rsid w:val="007F7B69"/>
    <w:rsid w:val="008114B7"/>
    <w:rsid w:val="00811A82"/>
    <w:rsid w:val="00825850"/>
    <w:rsid w:val="00873348"/>
    <w:rsid w:val="008C0A7E"/>
    <w:rsid w:val="008C1ACF"/>
    <w:rsid w:val="008C1C44"/>
    <w:rsid w:val="008D21BE"/>
    <w:rsid w:val="008E7B18"/>
    <w:rsid w:val="008F3AD6"/>
    <w:rsid w:val="0092223D"/>
    <w:rsid w:val="0092569C"/>
    <w:rsid w:val="00925B9E"/>
    <w:rsid w:val="00926811"/>
    <w:rsid w:val="00943146"/>
    <w:rsid w:val="0099012F"/>
    <w:rsid w:val="009A1028"/>
    <w:rsid w:val="009B75B7"/>
    <w:rsid w:val="009C0611"/>
    <w:rsid w:val="009F1F09"/>
    <w:rsid w:val="00A20D04"/>
    <w:rsid w:val="00A2476B"/>
    <w:rsid w:val="00A31EB9"/>
    <w:rsid w:val="00A47858"/>
    <w:rsid w:val="00A47A42"/>
    <w:rsid w:val="00A503EE"/>
    <w:rsid w:val="00A60484"/>
    <w:rsid w:val="00A6241E"/>
    <w:rsid w:val="00A6386A"/>
    <w:rsid w:val="00A63A0E"/>
    <w:rsid w:val="00A67CF4"/>
    <w:rsid w:val="00A8686E"/>
    <w:rsid w:val="00A87F8B"/>
    <w:rsid w:val="00AB4ACA"/>
    <w:rsid w:val="00AD5744"/>
    <w:rsid w:val="00AE0FDA"/>
    <w:rsid w:val="00AE2444"/>
    <w:rsid w:val="00AE5A85"/>
    <w:rsid w:val="00AF19E7"/>
    <w:rsid w:val="00B2188C"/>
    <w:rsid w:val="00B2421D"/>
    <w:rsid w:val="00B30734"/>
    <w:rsid w:val="00B36839"/>
    <w:rsid w:val="00B36B66"/>
    <w:rsid w:val="00B57110"/>
    <w:rsid w:val="00B603DF"/>
    <w:rsid w:val="00B65194"/>
    <w:rsid w:val="00B910DE"/>
    <w:rsid w:val="00B91962"/>
    <w:rsid w:val="00B93DC7"/>
    <w:rsid w:val="00BA6CCA"/>
    <w:rsid w:val="00BB4E86"/>
    <w:rsid w:val="00BE4409"/>
    <w:rsid w:val="00C015F0"/>
    <w:rsid w:val="00C32799"/>
    <w:rsid w:val="00C47282"/>
    <w:rsid w:val="00C87AE2"/>
    <w:rsid w:val="00CD0267"/>
    <w:rsid w:val="00D245AA"/>
    <w:rsid w:val="00D45870"/>
    <w:rsid w:val="00D51728"/>
    <w:rsid w:val="00D56B1A"/>
    <w:rsid w:val="00D64413"/>
    <w:rsid w:val="00D9332F"/>
    <w:rsid w:val="00DA1AAD"/>
    <w:rsid w:val="00DC03C9"/>
    <w:rsid w:val="00DD1435"/>
    <w:rsid w:val="00E11378"/>
    <w:rsid w:val="00E25338"/>
    <w:rsid w:val="00E45F60"/>
    <w:rsid w:val="00E47D18"/>
    <w:rsid w:val="00E50D9D"/>
    <w:rsid w:val="00E84931"/>
    <w:rsid w:val="00E912D9"/>
    <w:rsid w:val="00EA42D3"/>
    <w:rsid w:val="00ED2488"/>
    <w:rsid w:val="00F25D93"/>
    <w:rsid w:val="00F543BE"/>
    <w:rsid w:val="00F656F3"/>
    <w:rsid w:val="00F903AB"/>
    <w:rsid w:val="00FB2C59"/>
    <w:rsid w:val="00FC5CE1"/>
    <w:rsid w:val="00FC5D74"/>
    <w:rsid w:val="00FD09C9"/>
    <w:rsid w:val="00FF0C5F"/>
    <w:rsid w:val="6D1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方正行楷简体"/>
      <w:b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iPriority w:val="0"/>
    <w:pPr>
      <w:jc w:val="left"/>
    </w:pPr>
    <w:rPr>
      <w:lang w:val="zh-CN" w:eastAsia="zh-CN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2"/>
    <w:semiHidden/>
    <w:uiPriority w:val="0"/>
    <w:rPr>
      <w:b/>
      <w:bCs/>
    </w:rPr>
  </w:style>
  <w:style w:type="character" w:customStyle="1" w:styleId="11">
    <w:name w:val="批注文字 字符"/>
    <w:link w:val="3"/>
    <w:semiHidden/>
    <w:uiPriority w:val="0"/>
    <w:rPr>
      <w:kern w:val="2"/>
      <w:sz w:val="21"/>
      <w:szCs w:val="24"/>
    </w:rPr>
  </w:style>
  <w:style w:type="character" w:customStyle="1" w:styleId="12">
    <w:name w:val="批注主题 字符"/>
    <w:link w:val="8"/>
    <w:semiHidden/>
    <w:uiPriority w:val="0"/>
    <w:rPr>
      <w:b/>
      <w:bCs/>
      <w:kern w:val="2"/>
      <w:sz w:val="21"/>
      <w:szCs w:val="24"/>
    </w:rPr>
  </w:style>
  <w:style w:type="character" w:customStyle="1" w:styleId="13">
    <w:name w:val="页脚 字符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</Words>
  <Characters>1543</Characters>
  <Lines>12</Lines>
  <Paragraphs>3</Paragraphs>
  <TotalTime>3</TotalTime>
  <ScaleCrop>false</ScaleCrop>
  <LinksUpToDate>false</LinksUpToDate>
  <CharactersWithSpaces>1810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2023-09-19T02:02:00Z</dcterms:created>
  <dc:creator>Administrator</dc:creator>
  <cp:lastModifiedBy>万俟枫</cp:lastModifiedBy>
  <cp:lastPrinted>2017-07-11T08:40:00Z</cp:lastPrinted>
  <dcterms:modified xsi:type="dcterms:W3CDTF">2024-09-30T06:38:56Z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720FA746F5F44EDCB626F1C1A53497DF</vt:lpwstr>
  </property>
</Properties>
</file>