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2031D9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474B8C6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14BA54A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污染控制工程</w:t>
      </w:r>
    </w:p>
    <w:p w14:paraId="3CE1432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试卷内容结构</w:t>
      </w:r>
      <w:r>
        <w:rPr>
          <w:rFonts w:hint="eastAsia"/>
          <w:sz w:val="28"/>
          <w:szCs w:val="28"/>
        </w:rPr>
        <w:t>：环境工程原理40%，水污染控制工程</w:t>
      </w:r>
      <w:r>
        <w:rPr>
          <w:rFonts w:hint="eastAsia" w:cs="Times New Roman"/>
          <w:sz w:val="28"/>
          <w:szCs w:val="28"/>
        </w:rPr>
        <w:t>30</w:t>
      </w:r>
      <w:r>
        <w:rPr>
          <w:sz w:val="28"/>
          <w:szCs w:val="28"/>
        </w:rPr>
        <w:t>％</w:t>
      </w:r>
      <w:r>
        <w:rPr>
          <w:rFonts w:hint="eastAsia"/>
          <w:sz w:val="28"/>
          <w:szCs w:val="28"/>
        </w:rPr>
        <w:t>，大气污染控制工程</w:t>
      </w:r>
      <w:r>
        <w:rPr>
          <w:rFonts w:hint="eastAsia"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>%</w:t>
      </w:r>
    </w:p>
    <w:p w14:paraId="4DE99F9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07A7365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 环境工程原理</w:t>
      </w:r>
    </w:p>
    <w:p w14:paraId="4A064814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质量衡算与能量衡算</w:t>
      </w:r>
    </w:p>
    <w:p w14:paraId="5403CF0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73019A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物质的浓度　衡算系统　稳态系统　非稳态系统　质量衡算　能量衡算　热量衡算</w:t>
      </w:r>
    </w:p>
    <w:p w14:paraId="1A0A83E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B32CF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．掌握质量衡算，会利用质量衡算求解体系中污染物的变化。</w:t>
      </w:r>
    </w:p>
    <w:p w14:paraId="096B4FF4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．掌握稳态与非稳态反应系统的判别方法。</w:t>
      </w:r>
    </w:p>
    <w:p w14:paraId="3F029E6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．理解能量衡算与热量衡算。</w:t>
      </w:r>
    </w:p>
    <w:p w14:paraId="4F55D759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0DF83C5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分离过程原理</w:t>
      </w:r>
    </w:p>
    <w:p w14:paraId="6AC839A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43B973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沉降　过滤　吸收　吸附</w:t>
      </w:r>
    </w:p>
    <w:p w14:paraId="588E60B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02CBB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．掌握沉降分离的原理及沉降速度的计算。</w:t>
      </w:r>
    </w:p>
    <w:p w14:paraId="69E3420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．掌握表面过滤和深层过滤的基本理论，掌握恒压、恒速过滤时间、过滤滤液体积的计算。</w:t>
      </w:r>
    </w:p>
    <w:p w14:paraId="023986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理解颗粒床层的几何特性及深层过滤的水力学计算。</w:t>
      </w:r>
    </w:p>
    <w:p w14:paraId="5390EED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．掌握传质过程动力学基础理论、吸收传质的阻力计算及吸收过程的计算。</w:t>
      </w:r>
    </w:p>
    <w:p w14:paraId="741962E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．掌握单组分气体吸附平衡、固定床吸附器吸附穿透曲线和穿透时间。</w:t>
      </w:r>
    </w:p>
    <w:p w14:paraId="3EE608BF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</w:p>
    <w:p w14:paraId="1C6B125C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反应动力学基础</w:t>
      </w:r>
    </w:p>
    <w:p w14:paraId="2BCD4AA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408A8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反应器和反应操作　反应动力学的解析方法　均相化学反应器　非均相化学反应器　微生物反应器</w:t>
      </w:r>
    </w:p>
    <w:p w14:paraId="5E688EE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E81228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掌握反应器设计基础原理、反应转化率的计算、一级反应速率的计算。了解反应器内物料的流动与混合状态；反应器的类型；反应速率与速率方程；</w:t>
      </w:r>
    </w:p>
    <w:p w14:paraId="12C0C99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掌握动力学实验的一般方法，反应器内物料衡算的基本原理，间歇反应器的基本方程，槽式反应器的基本方程，平推流式反应器的基本方程。掌握连续、间歇反应器的积分、微分解析。</w:t>
      </w:r>
    </w:p>
    <w:p w14:paraId="1A13534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．掌握均相间歇反应器、单级完全混合反应器、简单平推流反应器的设计计算。</w:t>
      </w:r>
    </w:p>
    <w:p w14:paraId="3336924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4．掌握固相催化反应过程及其动力学、固相催化反应器的设计。了解气液相反应器的设计。</w:t>
      </w:r>
    </w:p>
    <w:p w14:paraId="2CFC0A6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．理解微生物反应特点、微生物反应的计量关系。了解微生物反应动力学计算与微生物反应器的操作与设计</w:t>
      </w:r>
    </w:p>
    <w:p w14:paraId="34066A4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191B32B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 水污染控制工程</w:t>
      </w:r>
    </w:p>
    <w:p w14:paraId="1244A50A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一、污水水质和出路</w:t>
      </w:r>
    </w:p>
    <w:p w14:paraId="562DD80F">
      <w:pPr>
        <w:pStyle w:val="13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4B130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污水性质、污染指标和标准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污染物在水体环境中的迁移与转化</w:t>
      </w:r>
    </w:p>
    <w:p w14:paraId="42EE0EF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7848B60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掌握常用污染指标和标准</w:t>
      </w:r>
      <w:r>
        <w:rPr>
          <w:sz w:val="28"/>
          <w:szCs w:val="28"/>
        </w:rPr>
        <w:t>。</w:t>
      </w:r>
    </w:p>
    <w:p w14:paraId="37D1F1A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掌握水体自净作用的净化机制</w:t>
      </w:r>
      <w:r>
        <w:rPr>
          <w:sz w:val="28"/>
          <w:szCs w:val="28"/>
        </w:rPr>
        <w:t>。</w:t>
      </w:r>
    </w:p>
    <w:p w14:paraId="7823E01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A9A7581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污水物理化学控制技术</w:t>
      </w:r>
    </w:p>
    <w:p w14:paraId="39643E0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51B9D6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混凝　沉淀　膜分离　氧化还原　吸附　离子交换　气浮　过滤　格栅和筛网　调节池</w:t>
      </w:r>
    </w:p>
    <w:p w14:paraId="054C1FAB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AF59FC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掌握格栅和筛网、混凝沉淀池、气浮池、固定床吸附、离子交换　过滤池的原理、结构、适用范围。</w:t>
      </w:r>
    </w:p>
    <w:p w14:paraId="3F4B0DD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理解各物理化学处理设施的设计方法。</w:t>
      </w:r>
    </w:p>
    <w:p w14:paraId="2E54F569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</w:p>
    <w:p w14:paraId="1698A8D5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污水生物化学处理技术</w:t>
      </w:r>
    </w:p>
    <w:p w14:paraId="5CAD93D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F0B159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生化反应的动力学基础　好氧生物处理的基本原理　厌氧生物处理的基本原理　生物膜法的作用特点与适用条件　活性污泥法的作用特点与适用条件　污水的土地处理</w:t>
      </w:r>
    </w:p>
    <w:p w14:paraId="53C68735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98A9F2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掌握生物膜法的设计计算、活性污泥法的设计。</w:t>
      </w:r>
    </w:p>
    <w:p w14:paraId="584973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理解生化反应的基本数学模式。</w:t>
      </w:r>
    </w:p>
    <w:p w14:paraId="374D390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4FF72499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污水的深度处理</w:t>
      </w:r>
    </w:p>
    <w:p w14:paraId="7954595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3A776A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深度处理　污水回用　氮、磷的去除原理　难降解有机物及微量重金属的去除技术的原理</w:t>
      </w:r>
    </w:p>
    <w:p w14:paraId="4436C6E4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6EBBDA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生物脱氮、除磷的技术及应用。</w:t>
      </w:r>
    </w:p>
    <w:p w14:paraId="24E273C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 xml:space="preserve">化学除磷脱氮的技术及应用。 </w:t>
      </w:r>
    </w:p>
    <w:p w14:paraId="3300D99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难降解有机物及微量重金属的去除技术的原理</w:t>
      </w:r>
    </w:p>
    <w:p w14:paraId="27B656D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718EDD1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污泥的处理、处置与利用</w:t>
      </w:r>
    </w:p>
    <w:p w14:paraId="7814ABF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E03CFC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污泥的处理方法、流程及装置</w:t>
      </w:r>
    </w:p>
    <w:p w14:paraId="01BBEB16">
      <w:pPr>
        <w:spacing w:after="0" w:line="0" w:lineRule="atLeast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0B282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 xml:space="preserve">污泥成分变化计算。 </w:t>
      </w:r>
    </w:p>
    <w:p w14:paraId="63A8C83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污泥处理处置流程。</w:t>
      </w:r>
    </w:p>
    <w:p w14:paraId="76287E0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7804BB6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第三部分 大气污染控制工程</w:t>
      </w:r>
    </w:p>
    <w:p w14:paraId="77C41EF2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一、大气与大气污染</w:t>
      </w:r>
    </w:p>
    <w:p w14:paraId="5C866E4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</w:t>
      </w:r>
      <w:r>
        <w:rPr>
          <w:rFonts w:cs="楷体"/>
          <w:b/>
          <w:sz w:val="28"/>
          <w:szCs w:val="28"/>
        </w:rPr>
        <w:t>试内容</w:t>
      </w:r>
    </w:p>
    <w:p w14:paraId="0938074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大气组成　主要大气污染物及全球性大气污染问题　环境空气质量控制标准</w:t>
      </w:r>
    </w:p>
    <w:p w14:paraId="6014573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73E3E5E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掌握主要大气污染问题成因及危害</w:t>
      </w:r>
      <w:r>
        <w:rPr>
          <w:sz w:val="28"/>
          <w:szCs w:val="28"/>
        </w:rPr>
        <w:t>。</w:t>
      </w:r>
    </w:p>
    <w:p w14:paraId="1906CAE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掌握环境空气质量控制标准的选择</w:t>
      </w:r>
      <w:r>
        <w:rPr>
          <w:sz w:val="28"/>
          <w:szCs w:val="28"/>
        </w:rPr>
        <w:t>。</w:t>
      </w:r>
    </w:p>
    <w:p w14:paraId="55FDF34B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2CA0CCC9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二、燃烧与大气污染</w:t>
      </w:r>
    </w:p>
    <w:p w14:paraId="41759A3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</w:t>
      </w:r>
      <w:r>
        <w:rPr>
          <w:rFonts w:cs="楷体"/>
          <w:b/>
          <w:sz w:val="28"/>
          <w:szCs w:val="28"/>
        </w:rPr>
        <w:t>试内容</w:t>
      </w:r>
    </w:p>
    <w:p w14:paraId="1F1FFD0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燃料燃烧过程污染物的形成与控制　</w:t>
      </w:r>
      <w:r>
        <w:rPr>
          <w:sz w:val="28"/>
          <w:szCs w:val="28"/>
        </w:rPr>
        <w:t>硫氧化物的形成与控制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NO</w:t>
      </w:r>
      <w:r>
        <w:rPr>
          <w:sz w:val="28"/>
          <w:szCs w:val="28"/>
          <w:vertAlign w:val="subscript"/>
        </w:rPr>
        <w:t>X</w:t>
      </w:r>
      <w:r>
        <w:rPr>
          <w:sz w:val="28"/>
          <w:szCs w:val="28"/>
        </w:rPr>
        <w:t>的形成与控制</w:t>
      </w:r>
      <w:r>
        <w:rPr>
          <w:rFonts w:hint="eastAsia"/>
          <w:sz w:val="28"/>
          <w:szCs w:val="28"/>
        </w:rPr>
        <w:t>　颗粒污染物的形成与控制　二恶英等污染物的形成与控制　</w:t>
      </w:r>
    </w:p>
    <w:p w14:paraId="441BA46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17359B8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掌握燃烧过程烟气体积及主要污染物排放量的计算</w:t>
      </w:r>
      <w:r>
        <w:rPr>
          <w:sz w:val="28"/>
          <w:szCs w:val="28"/>
        </w:rPr>
        <w:t>。</w:t>
      </w:r>
    </w:p>
    <w:p w14:paraId="73F4146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</w:t>
      </w:r>
      <w:r>
        <w:rPr>
          <w:sz w:val="28"/>
          <w:szCs w:val="28"/>
        </w:rPr>
        <w:t>硫氧化物</w:t>
      </w:r>
      <w:r>
        <w:rPr>
          <w:rFonts w:hint="eastAsia"/>
          <w:sz w:val="28"/>
          <w:szCs w:val="28"/>
        </w:rPr>
        <w:t>、氮氧化物、颗粒污染物等污染物的形成与控制</w:t>
      </w:r>
      <w:r>
        <w:rPr>
          <w:sz w:val="28"/>
          <w:szCs w:val="28"/>
        </w:rPr>
        <w:t>。</w:t>
      </w:r>
    </w:p>
    <w:p w14:paraId="39D0490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4409AF3">
      <w:pPr>
        <w:pStyle w:val="11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颗粒污染物控制</w:t>
      </w:r>
    </w:p>
    <w:p w14:paraId="0EEA70B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</w:t>
      </w:r>
      <w:r>
        <w:rPr>
          <w:rFonts w:cs="楷体"/>
          <w:b/>
          <w:sz w:val="28"/>
          <w:szCs w:val="28"/>
        </w:rPr>
        <w:t>试内容</w:t>
      </w:r>
    </w:p>
    <w:p w14:paraId="65F6806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粉尘的粒径及粒径分布　颗粒捕集理论基础　除尘装置的原理、性能与适用范围</w:t>
      </w:r>
    </w:p>
    <w:p w14:paraId="277A9D4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5874CB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掌握粉尘的当量直径、物理性质及净化装置主要性能参数。</w:t>
      </w:r>
    </w:p>
    <w:p w14:paraId="34EBED1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掌握机械除尘器、电除尘器、过滤式除尘器等的原理及除尘效率、压力损失的计算</w:t>
      </w:r>
      <w:r>
        <w:rPr>
          <w:sz w:val="28"/>
          <w:szCs w:val="28"/>
        </w:rPr>
        <w:t>。</w:t>
      </w:r>
    </w:p>
    <w:p w14:paraId="666806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掌握除尘装置的选择。</w:t>
      </w:r>
    </w:p>
    <w:p w14:paraId="3C95199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DED0707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气态污染物处理技术基础</w:t>
      </w:r>
    </w:p>
    <w:p w14:paraId="13E9573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</w:t>
      </w:r>
      <w:r>
        <w:rPr>
          <w:rFonts w:cs="楷体"/>
          <w:b/>
          <w:sz w:val="28"/>
          <w:szCs w:val="28"/>
        </w:rPr>
        <w:t>试内容</w:t>
      </w:r>
    </w:p>
    <w:p w14:paraId="1764798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吸收过程的气液平衡　伴有化学反应的吸收动力学　吸收设备及其设计计算　吸附过程与吸附剂　吸附设备及其设计计算　催化剂和催化作用　多相催化反应的物化过程及动力学方程　气固反应器的设计计算与结构类型选择</w:t>
      </w:r>
    </w:p>
    <w:p w14:paraId="3AF4972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02D1DE4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掌握填料塔的设计计算。</w:t>
      </w:r>
    </w:p>
    <w:p w14:paraId="285D359A">
      <w:pPr>
        <w:snapToGrid w:val="0"/>
        <w:ind w:left="0"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掌握固定床吸附器的设计计算。</w:t>
      </w:r>
    </w:p>
    <w:p w14:paraId="3C6525A5">
      <w:pPr>
        <w:snapToGrid w:val="0"/>
        <w:ind w:left="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掌握定床催化反应器的设计计算。</w:t>
      </w:r>
    </w:p>
    <w:p w14:paraId="33372287">
      <w:pPr>
        <w:snapToGrid w:val="0"/>
        <w:rPr>
          <w:rFonts w:hint="eastAsia"/>
          <w:b/>
          <w:sz w:val="28"/>
          <w:szCs w:val="28"/>
        </w:rPr>
      </w:pPr>
    </w:p>
    <w:p w14:paraId="5E424A92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70A3BB9C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1.《大气污染控制工程》郝吉明等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高等教育出版社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第</w:t>
      </w: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版</w:t>
      </w:r>
    </w:p>
    <w:p w14:paraId="5D08023A">
      <w:p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2.《水污染控制工程》高建耀主编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高等教育出版社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第</w:t>
      </w: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F3461"/>
    <w:multiLevelType w:val="multilevel"/>
    <w:tmpl w:val="369F346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1A30"/>
    <w:rsid w:val="000453B2"/>
    <w:rsid w:val="000A7124"/>
    <w:rsid w:val="000B6FED"/>
    <w:rsid w:val="0010025F"/>
    <w:rsid w:val="00157DC4"/>
    <w:rsid w:val="0017145F"/>
    <w:rsid w:val="001E00F3"/>
    <w:rsid w:val="00201E9E"/>
    <w:rsid w:val="0020620C"/>
    <w:rsid w:val="00287686"/>
    <w:rsid w:val="002E4A9A"/>
    <w:rsid w:val="0032224F"/>
    <w:rsid w:val="00355E13"/>
    <w:rsid w:val="003A013B"/>
    <w:rsid w:val="003A2662"/>
    <w:rsid w:val="003C1752"/>
    <w:rsid w:val="00430344"/>
    <w:rsid w:val="004B6657"/>
    <w:rsid w:val="004C6697"/>
    <w:rsid w:val="004F0E77"/>
    <w:rsid w:val="006C3EA1"/>
    <w:rsid w:val="00792E03"/>
    <w:rsid w:val="007F45C6"/>
    <w:rsid w:val="008726B9"/>
    <w:rsid w:val="008A110D"/>
    <w:rsid w:val="008E4F62"/>
    <w:rsid w:val="009569C2"/>
    <w:rsid w:val="009836AE"/>
    <w:rsid w:val="00AB30F6"/>
    <w:rsid w:val="00AF24A6"/>
    <w:rsid w:val="00C00332"/>
    <w:rsid w:val="00C55436"/>
    <w:rsid w:val="00CF7AC0"/>
    <w:rsid w:val="00D6403D"/>
    <w:rsid w:val="00DA28BC"/>
    <w:rsid w:val="00DC392C"/>
    <w:rsid w:val="00EF6395"/>
    <w:rsid w:val="00F60B3E"/>
    <w:rsid w:val="00FA28B7"/>
    <w:rsid w:val="2AEA1E34"/>
    <w:rsid w:val="32DA15ED"/>
    <w:rsid w:val="6E16349D"/>
    <w:rsid w:val="740D1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1771</Words>
  <Characters>1784</Characters>
  <Lines>13</Lines>
  <Paragraphs>3</Paragraphs>
  <TotalTime>0</TotalTime>
  <ScaleCrop>false</ScaleCrop>
  <LinksUpToDate>false</LinksUpToDate>
  <CharactersWithSpaces>1842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2019-07-16T02:57:00Z</dcterms:created>
  <dc:creator>xhl</dc:creator>
  <cp:lastModifiedBy>vertesyuan</cp:lastModifiedBy>
  <dcterms:modified xsi:type="dcterms:W3CDTF">2024-10-10T06:24:06Z</dcterms:modified>
  <dc:title>2014年数学考研大纲(数学一)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504AC25F10CA48B68C3CA47BC4609369_13</vt:lpwstr>
  </property>
</Properties>
</file>