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6" w:lineRule="auto"/>
        <w:rPr>
          <w:rFonts w:ascii="Arial"/>
          <w:sz w:val="21"/>
        </w:rPr>
      </w:pPr>
      <w:r/>
    </w:p>
    <w:p>
      <w:pPr>
        <w:ind w:left="2877"/>
        <w:spacing w:before="146" w:line="351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10"/>
          <w:position w:val="-1"/>
        </w:rPr>
        <w:t>911</w:t>
      </w:r>
      <w:r>
        <w:rPr>
          <w:rFonts w:ascii="Arial" w:hAnsi="Arial" w:eastAsia="Arial" w:cs="Arial"/>
          <w:sz w:val="34"/>
          <w:szCs w:val="34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10"/>
          <w:position w:val="-1"/>
        </w:rPr>
        <w:t>规划设计与分析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56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1" w:firstLine="563"/>
        <w:spacing w:before="139" w:line="307" w:lineRule="auto"/>
        <w:rPr/>
      </w:pPr>
      <w:r>
        <w:rPr>
          <w:spacing w:val="1"/>
        </w:rPr>
        <w:t>本考试主要针对报考城乡规划学学术型学位研究生的考生，考核考生</w:t>
      </w:r>
      <w:r>
        <w:rPr>
          <w:spacing w:val="7"/>
        </w:rPr>
        <w:t xml:space="preserve"> </w:t>
      </w:r>
      <w:r>
        <w:rPr>
          <w:spacing w:val="1"/>
        </w:rPr>
        <w:t>对城乡规划设计知识的理解和设计思维。考察重点包括对城乡规划设计理</w:t>
      </w:r>
      <w:r>
        <w:rPr>
          <w:spacing w:val="6"/>
        </w:rPr>
        <w:t xml:space="preserve"> </w:t>
      </w:r>
      <w:r>
        <w:rPr>
          <w:spacing w:val="1"/>
        </w:rPr>
        <w:t>论与方法的熟悉程度、对经典城乡规划设计案例的评析能力、运用对典型</w:t>
      </w:r>
      <w:r>
        <w:rPr>
          <w:spacing w:val="6"/>
        </w:rPr>
        <w:t xml:space="preserve"> </w:t>
      </w:r>
      <w:r>
        <w:rPr>
          <w:spacing w:val="-1"/>
        </w:rPr>
        <w:t>规划设计类型所需知识体系来分析问题、解决问题的能力等。</w:t>
      </w:r>
    </w:p>
    <w:p>
      <w:pPr>
        <w:ind w:left="568"/>
        <w:spacing w:before="3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firstLine="563"/>
        <w:spacing w:before="142" w:line="300" w:lineRule="auto"/>
        <w:rPr/>
      </w:pPr>
      <w:r>
        <w:rPr>
          <w:spacing w:val="1"/>
        </w:rPr>
        <w:t>考试内容为完成某一特定功能区的概念规划设计方案，设计主题包括</w:t>
      </w:r>
      <w:r>
        <w:rPr>
          <w:spacing w:val="8"/>
        </w:rPr>
        <w:t xml:space="preserve"> </w:t>
      </w:r>
      <w:r>
        <w:rPr>
          <w:spacing w:val="-2"/>
        </w:rPr>
        <w:t>但不限于：</w:t>
      </w:r>
    </w:p>
    <w:p>
      <w:pPr>
        <w:pStyle w:val="BodyText"/>
        <w:ind w:left="585"/>
        <w:spacing w:before="40" w:line="222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总体规划设计；</w:t>
      </w:r>
    </w:p>
    <w:p>
      <w:pPr>
        <w:pStyle w:val="BodyText"/>
        <w:ind w:left="558"/>
        <w:spacing w:before="14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控制性详细规划；</w:t>
      </w:r>
    </w:p>
    <w:p>
      <w:pPr>
        <w:pStyle w:val="BodyText"/>
        <w:ind w:left="3" w:firstLine="561"/>
        <w:spacing w:before="138" w:line="301" w:lineRule="auto"/>
        <w:rPr/>
      </w:pPr>
      <w:r>
        <w:rPr>
          <w:rFonts w:ascii="Times New Roman" w:hAnsi="Times New Roman" w:eastAsia="Times New Roman" w:cs="Times New Roman"/>
          <w:spacing w:val="3"/>
        </w:rPr>
        <w:t>3.</w:t>
      </w:r>
      <w:r>
        <w:rPr>
          <w:spacing w:val="3"/>
        </w:rPr>
        <w:t>城市居住小区、城市中心地段、城市滨水区、旧城改造、校园等详</w:t>
      </w:r>
      <w:r>
        <w:rPr>
          <w:spacing w:val="14"/>
        </w:rPr>
        <w:t xml:space="preserve"> </w:t>
      </w:r>
      <w:r>
        <w:rPr>
          <w:spacing w:val="-2"/>
        </w:rPr>
        <w:t>细规划设计。</w:t>
      </w:r>
    </w:p>
    <w:p>
      <w:pPr>
        <w:ind w:left="569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" w:firstLine="559"/>
        <w:spacing w:before="140" w:line="300" w:lineRule="auto"/>
        <w:rPr/>
      </w:pPr>
      <w:r>
        <w:rPr>
          <w:spacing w:val="-1"/>
        </w:rPr>
        <w:t>本考试为闭卷考试，满分为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150 </w:t>
      </w:r>
      <w:r>
        <w:rPr>
          <w:spacing w:val="-1"/>
        </w:rPr>
        <w:t>分，考试时间为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180 </w:t>
      </w:r>
      <w:r>
        <w:rPr>
          <w:spacing w:val="-1"/>
        </w:rPr>
        <w:t>分钟，图纸规格</w:t>
      </w:r>
      <w:r>
        <w:rPr/>
        <w:t xml:space="preserve"> </w:t>
      </w:r>
      <w:r>
        <w:rPr>
          <w:spacing w:val="-5"/>
        </w:rPr>
        <w:t>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A3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5"/>
        </w:rPr>
        <w:t>，表达工具不限。</w:t>
      </w:r>
    </w:p>
    <w:p>
      <w:pPr>
        <w:ind w:left="580"/>
        <w:spacing w:before="42" w:line="223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84" w:right="2006" w:hanging="13"/>
        <w:spacing w:before="95" w:line="296" w:lineRule="auto"/>
        <w:rPr/>
      </w:pPr>
      <w:r>
        <w:rPr>
          <w:spacing w:val="-2"/>
        </w:rPr>
        <w:t>（一）某特定功能区的概念规划设计方案（占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50</w:t>
      </w:r>
      <w:r>
        <w:rPr>
          <w:rFonts w:ascii="Times New Roman" w:hAnsi="Times New Roman" w:eastAsia="Times New Roman" w:cs="Times New Roman"/>
          <w:spacing w:val="-3"/>
        </w:rPr>
        <w:t>%</w:t>
      </w:r>
      <w:r>
        <w:rPr>
          <w:spacing w:val="-3"/>
        </w:rPr>
        <w:t>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规划设计说明与分析，占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30%</w:t>
      </w:r>
      <w:r>
        <w:rPr>
          <w:spacing w:val="-3"/>
        </w:rPr>
        <w:t>；</w:t>
      </w:r>
    </w:p>
    <w:p>
      <w:pPr>
        <w:pStyle w:val="BodyText"/>
        <w:ind w:left="558" w:right="1208" w:firstLine="5"/>
        <w:spacing w:before="96" w:line="302" w:lineRule="auto"/>
        <w:rPr/>
      </w:pPr>
      <w:r>
        <w:rPr>
          <w:spacing w:val="-2"/>
        </w:rPr>
        <w:t>包括规划设计概念说明，总平图分析，主要技术经济指标。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设计表达，占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20%</w:t>
      </w:r>
      <w:r>
        <w:rPr>
          <w:spacing w:val="-1"/>
        </w:rPr>
        <w:t>；</w:t>
      </w:r>
    </w:p>
    <w:p>
      <w:pPr>
        <w:pStyle w:val="BodyText"/>
        <w:ind w:left="595"/>
        <w:spacing w:before="35" w:line="221" w:lineRule="auto"/>
        <w:rPr/>
      </w:pPr>
      <w:r>
        <w:rPr>
          <w:spacing w:val="-2"/>
        </w:rPr>
        <w:t>以总平图和各类分析图为主，上色非必需、鸟瞰图效果图非必需。</w:t>
      </w:r>
    </w:p>
    <w:p>
      <w:pPr>
        <w:pStyle w:val="BodyText"/>
        <w:ind w:left="571"/>
        <w:spacing w:before="99" w:line="369" w:lineRule="exact"/>
        <w:rPr/>
      </w:pPr>
      <w:r>
        <w:rPr>
          <w:spacing w:val="-2"/>
          <w:position w:val="1"/>
        </w:rPr>
        <w:t>（二）经典案例评析（占</w:t>
      </w:r>
      <w:r>
        <w:rPr>
          <w:spacing w:val="-60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</w:rPr>
        <w:t>50%</w:t>
      </w:r>
      <w:r>
        <w:rPr>
          <w:spacing w:val="-2"/>
          <w:position w:val="1"/>
        </w:rPr>
        <w:t>）</w:t>
      </w:r>
    </w:p>
    <w:p>
      <w:pPr>
        <w:pStyle w:val="BodyText"/>
        <w:ind w:left="562"/>
        <w:spacing w:before="150" w:line="221" w:lineRule="auto"/>
        <w:rPr>
          <w:rFonts w:ascii="SimHei" w:hAnsi="SimHei" w:eastAsia="SimHei" w:cs="SimHei"/>
        </w:rPr>
      </w:pPr>
      <w:r>
        <w:rPr>
          <w:spacing w:val="-1"/>
        </w:rPr>
        <w:t>对国内外经典空间规划设计案例进行分析和评述</w:t>
      </w:r>
      <w:r>
        <w:rPr>
          <w:rFonts w:ascii="SimHei" w:hAnsi="SimHei" w:eastAsia="SimHei" w:cs="SimHei"/>
          <w:spacing w:val="-1"/>
        </w:rPr>
        <w:t>。</w:t>
      </w:r>
    </w:p>
    <w:p>
      <w:pPr>
        <w:ind w:left="571"/>
        <w:spacing w:before="140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五、主要参考规范</w:t>
      </w:r>
    </w:p>
    <w:p>
      <w:pPr>
        <w:pStyle w:val="BodyText"/>
        <w:ind w:left="585"/>
        <w:spacing w:before="15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《城市居住区规划设计标准》；</w:t>
      </w:r>
    </w:p>
    <w:p>
      <w:pPr>
        <w:spacing w:line="221" w:lineRule="auto"/>
        <w:sectPr>
          <w:footerReference w:type="default" r:id="rId1"/>
          <w:pgSz w:w="12070" w:h="16950"/>
          <w:pgMar w:top="1440" w:right="1471" w:bottom="1844" w:left="1595" w:header="0" w:footer="1628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43"/>
        <w:spacing w:before="9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《完整居住社区建设标准》；</w:t>
      </w:r>
    </w:p>
    <w:p>
      <w:pPr>
        <w:pStyle w:val="BodyText"/>
        <w:ind w:left="349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《城市道路交通设施设计规范》；</w:t>
      </w:r>
    </w:p>
    <w:p>
      <w:pPr>
        <w:pStyle w:val="BodyText"/>
        <w:ind w:left="341"/>
        <w:spacing w:before="154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《历史文化名城名镇名村保护条例》；</w:t>
      </w:r>
    </w:p>
    <w:p>
      <w:pPr>
        <w:pStyle w:val="BodyText"/>
        <w:ind w:left="350"/>
        <w:spacing w:before="155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《城市用地分类与规划建设用地标准》；</w:t>
      </w:r>
    </w:p>
    <w:p>
      <w:pPr>
        <w:pStyle w:val="BodyText"/>
        <w:ind w:left="349"/>
        <w:spacing w:before="157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《城市绿地规划标准》；</w:t>
      </w:r>
    </w:p>
    <w:p>
      <w:pPr>
        <w:pStyle w:val="BodyText"/>
        <w:ind w:left="347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《城市消防规划规范》等。</w:t>
      </w:r>
    </w:p>
    <w:sectPr>
      <w:footerReference w:type="default" r:id="rId2"/>
      <w:pgSz w:w="12070" w:h="16950"/>
      <w:pgMar w:top="1440" w:right="1810" w:bottom="1844" w:left="1810" w:header="0" w:footer="162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0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2024-09-30T22:07:00Z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2024-10-11T22:44:21</vt:filetime>
  </property>
</Properties>
</file>