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30191">
      <w:pPr>
        <w:ind w:left="420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sz w:val="32"/>
          <w:szCs w:val="32"/>
        </w:rPr>
        <w:t>考试</w:t>
      </w:r>
    </w:p>
    <w:p w14:paraId="3CB973F0">
      <w:pPr>
        <w:ind w:left="420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《传热学》考试大纲</w:t>
      </w:r>
    </w:p>
    <w:p w14:paraId="7BA4DCEB">
      <w:pPr>
        <w:numPr>
          <w:ilvl w:val="0"/>
          <w:numId w:val="1"/>
        </w:numPr>
        <w:tabs>
          <w:tab w:val="left" w:pos="525"/>
          <w:tab w:val="clear" w:pos="420"/>
        </w:tabs>
        <w:spacing w:after="78" w:afterLines="25" w:line="360" w:lineRule="auto"/>
        <w:rPr>
          <w:rFonts w:hint="eastAsia"/>
          <w:szCs w:val="21"/>
        </w:rPr>
      </w:pPr>
      <w:r>
        <w:rPr>
          <w:rFonts w:hint="eastAsia"/>
          <w:b/>
          <w:bCs/>
          <w:sz w:val="24"/>
        </w:rPr>
        <w:t>参考教材</w:t>
      </w:r>
      <w:r>
        <w:rPr>
          <w:rFonts w:hint="eastAsia"/>
          <w:sz w:val="24"/>
        </w:rPr>
        <w:t>：</w:t>
      </w:r>
    </w:p>
    <w:p w14:paraId="4F73500C">
      <w:pPr>
        <w:spacing w:after="78" w:afterLines="25" w:line="360" w:lineRule="auto"/>
        <w:ind w:firstLine="720" w:firstLineChars="3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</w:t>
      </w:r>
      <w:r>
        <w:rPr>
          <w:rFonts w:hint="eastAsia" w:ascii="宋体" w:hAnsi="宋体"/>
          <w:color w:val="000000"/>
          <w:sz w:val="24"/>
          <w:szCs w:val="21"/>
        </w:rPr>
        <w:t>、《</w:t>
      </w:r>
      <w:r>
        <w:rPr>
          <w:rFonts w:hint="eastAsia" w:ascii="宋体" w:hAnsi="宋体"/>
          <w:color w:val="000000"/>
          <w:sz w:val="24"/>
        </w:rPr>
        <w:t>传热学</w:t>
      </w:r>
      <w:r>
        <w:rPr>
          <w:rFonts w:hint="eastAsia" w:ascii="宋体" w:hAnsi="宋体"/>
          <w:bCs/>
          <w:color w:val="000000"/>
          <w:sz w:val="24"/>
          <w:szCs w:val="21"/>
        </w:rPr>
        <w:t>》</w:t>
      </w:r>
      <w:r>
        <w:rPr>
          <w:rFonts w:hint="eastAsia" w:ascii="宋体" w:hAnsi="宋体"/>
          <w:color w:val="000000"/>
          <w:sz w:val="24"/>
        </w:rPr>
        <w:t>陶文铨 编著</w:t>
      </w:r>
      <w:r>
        <w:rPr>
          <w:rFonts w:hint="eastAsia" w:ascii="宋体" w:hAnsi="宋体"/>
          <w:bCs/>
          <w:color w:val="000000"/>
          <w:sz w:val="24"/>
          <w:szCs w:val="21"/>
        </w:rPr>
        <w:t>，</w:t>
      </w:r>
      <w:r>
        <w:rPr>
          <w:rFonts w:ascii="宋体" w:hAnsi="宋体"/>
          <w:bCs/>
          <w:sz w:val="24"/>
          <w:szCs w:val="21"/>
        </w:rPr>
        <w:t>第</w:t>
      </w:r>
      <w:r>
        <w:rPr>
          <w:rFonts w:hint="eastAsia" w:ascii="宋体" w:hAnsi="宋体"/>
          <w:bCs/>
          <w:sz w:val="24"/>
          <w:szCs w:val="21"/>
        </w:rPr>
        <w:t>五</w:t>
      </w:r>
      <w:r>
        <w:rPr>
          <w:rFonts w:ascii="宋体" w:hAnsi="宋体"/>
          <w:bCs/>
          <w:sz w:val="24"/>
          <w:szCs w:val="21"/>
        </w:rPr>
        <w:t>版</w:t>
      </w:r>
      <w:r>
        <w:rPr>
          <w:rFonts w:hint="eastAsia" w:ascii="宋体" w:hAnsi="宋体"/>
          <w:bCs/>
          <w:sz w:val="24"/>
          <w:szCs w:val="21"/>
        </w:rPr>
        <w:t>，</w:t>
      </w:r>
      <w:r>
        <w:rPr>
          <w:rFonts w:ascii="宋体" w:hAnsi="宋体"/>
          <w:bCs/>
          <w:sz w:val="24"/>
          <w:szCs w:val="21"/>
        </w:rPr>
        <w:t>高等教育出版社，</w:t>
      </w:r>
      <w:r>
        <w:rPr>
          <w:rFonts w:hint="eastAsia" w:ascii="宋体" w:hAnsi="宋体"/>
          <w:bCs/>
          <w:sz w:val="24"/>
          <w:szCs w:val="21"/>
        </w:rPr>
        <w:t>20</w:t>
      </w:r>
      <w:r>
        <w:rPr>
          <w:rFonts w:ascii="宋体" w:hAnsi="宋体"/>
          <w:bCs/>
          <w:sz w:val="24"/>
          <w:szCs w:val="21"/>
        </w:rPr>
        <w:t>19</w:t>
      </w:r>
      <w:r>
        <w:rPr>
          <w:rFonts w:hint="eastAsia" w:ascii="宋体" w:hAnsi="宋体"/>
          <w:bCs/>
          <w:sz w:val="24"/>
          <w:szCs w:val="21"/>
        </w:rPr>
        <w:t xml:space="preserve">年。 </w:t>
      </w:r>
    </w:p>
    <w:p w14:paraId="7D38B96C">
      <w:pPr>
        <w:spacing w:after="78" w:afterLines="25" w:line="360" w:lineRule="auto"/>
        <w:ind w:firstLine="735" w:firstLineChars="350"/>
        <w:rPr>
          <w:rFonts w:hint="eastAsia"/>
        </w:rPr>
      </w:pPr>
    </w:p>
    <w:p w14:paraId="42A5A664">
      <w:pPr>
        <w:numPr>
          <w:ilvl w:val="0"/>
          <w:numId w:val="1"/>
        </w:numPr>
        <w:tabs>
          <w:tab w:val="left" w:pos="525"/>
          <w:tab w:val="clear" w:pos="420"/>
        </w:tabs>
        <w:spacing w:after="78" w:afterLines="25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考试方法、考试时间</w:t>
      </w:r>
    </w:p>
    <w:p w14:paraId="6D0BED9D">
      <w:pPr>
        <w:spacing w:after="78" w:afterLines="25" w:line="360" w:lineRule="auto"/>
        <w:ind w:firstLine="1320" w:firstLineChars="550"/>
        <w:rPr>
          <w:rFonts w:hint="eastAsia"/>
          <w:sz w:val="24"/>
        </w:rPr>
      </w:pPr>
      <w:r>
        <w:rPr>
          <w:rFonts w:hint="eastAsia"/>
          <w:sz w:val="24"/>
        </w:rPr>
        <w:t>闭卷考试，试卷满分150分，考试时间180分钟。</w:t>
      </w:r>
    </w:p>
    <w:p w14:paraId="35939578">
      <w:pPr>
        <w:spacing w:after="78" w:afterLines="25" w:line="360" w:lineRule="auto"/>
        <w:ind w:firstLine="1575" w:firstLineChars="750"/>
        <w:rPr>
          <w:rFonts w:hint="eastAsia"/>
        </w:rPr>
      </w:pPr>
    </w:p>
    <w:p w14:paraId="1FA7F258">
      <w:pPr>
        <w:numPr>
          <w:ilvl w:val="0"/>
          <w:numId w:val="1"/>
        </w:numPr>
        <w:tabs>
          <w:tab w:val="left" w:pos="525"/>
        </w:tabs>
        <w:spacing w:after="78" w:afterLines="25"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考试形式</w:t>
      </w:r>
    </w:p>
    <w:p w14:paraId="7356AED0">
      <w:pPr>
        <w:tabs>
          <w:tab w:val="left" w:pos="525"/>
        </w:tabs>
        <w:spacing w:after="78" w:afterLines="25" w:line="360" w:lineRule="auto"/>
        <w:ind w:firstLine="1320" w:firstLineChars="550"/>
        <w:rPr>
          <w:rFonts w:hint="eastAsia"/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基本概念               约占20%</w:t>
      </w:r>
    </w:p>
    <w:p w14:paraId="6C15DF76">
      <w:pPr>
        <w:tabs>
          <w:tab w:val="left" w:pos="525"/>
        </w:tabs>
        <w:spacing w:after="78" w:afterLines="25" w:line="360" w:lineRule="auto"/>
        <w:ind w:firstLine="1320" w:firstLineChars="550"/>
        <w:rPr>
          <w:rFonts w:hint="eastAsia"/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 xml:space="preserve">理论分析      </w:t>
      </w:r>
      <w:r>
        <w:rPr>
          <w:bCs/>
          <w:sz w:val="24"/>
          <w:szCs w:val="21"/>
        </w:rPr>
        <w:t xml:space="preserve">    </w:t>
      </w:r>
      <w:r>
        <w:rPr>
          <w:rFonts w:hint="eastAsia"/>
          <w:bCs/>
          <w:sz w:val="24"/>
          <w:szCs w:val="21"/>
        </w:rPr>
        <w:t xml:space="preserve">     约占</w:t>
      </w:r>
      <w:r>
        <w:rPr>
          <w:bCs/>
          <w:sz w:val="24"/>
          <w:szCs w:val="21"/>
        </w:rPr>
        <w:t>4</w:t>
      </w:r>
      <w:r>
        <w:rPr>
          <w:rFonts w:hint="eastAsia"/>
          <w:bCs/>
          <w:sz w:val="24"/>
          <w:szCs w:val="21"/>
        </w:rPr>
        <w:t>0%</w:t>
      </w:r>
    </w:p>
    <w:p w14:paraId="568C53B0">
      <w:pPr>
        <w:tabs>
          <w:tab w:val="left" w:pos="525"/>
        </w:tabs>
        <w:spacing w:after="78" w:afterLines="25" w:line="360" w:lineRule="auto"/>
        <w:ind w:firstLine="1320" w:firstLineChars="550"/>
        <w:rPr>
          <w:rFonts w:hint="eastAsia"/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应用题                 约占</w:t>
      </w:r>
      <w:r>
        <w:rPr>
          <w:bCs/>
          <w:sz w:val="24"/>
          <w:szCs w:val="21"/>
        </w:rPr>
        <w:t>4</w:t>
      </w:r>
      <w:r>
        <w:rPr>
          <w:rFonts w:hint="eastAsia"/>
          <w:bCs/>
          <w:sz w:val="24"/>
          <w:szCs w:val="21"/>
        </w:rPr>
        <w:t>0%</w:t>
      </w:r>
    </w:p>
    <w:p w14:paraId="0216537A">
      <w:pPr>
        <w:spacing w:after="78" w:afterLines="25" w:line="360" w:lineRule="auto"/>
        <w:ind w:firstLine="720" w:firstLineChars="300"/>
        <w:rPr>
          <w:rFonts w:hint="eastAsia"/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试题一般由选择题、填空题、分析简答题、应用计算题等组成。</w:t>
      </w:r>
    </w:p>
    <w:p w14:paraId="2A4E37D8">
      <w:pPr>
        <w:tabs>
          <w:tab w:val="left" w:pos="525"/>
        </w:tabs>
        <w:spacing w:after="78" w:afterLines="25" w:line="360" w:lineRule="auto"/>
        <w:ind w:firstLine="1320" w:firstLineChars="550"/>
        <w:rPr>
          <w:rFonts w:hint="eastAsia"/>
          <w:bCs/>
          <w:sz w:val="24"/>
          <w:szCs w:val="21"/>
        </w:rPr>
      </w:pPr>
    </w:p>
    <w:p w14:paraId="3894F4B2">
      <w:pPr>
        <w:numPr>
          <w:ilvl w:val="0"/>
          <w:numId w:val="1"/>
        </w:numPr>
        <w:tabs>
          <w:tab w:val="left" w:pos="525"/>
        </w:tabs>
        <w:spacing w:after="234" w:afterLines="75" w:line="36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考试内容及要求</w:t>
      </w:r>
    </w:p>
    <w:p w14:paraId="48A98B15">
      <w:pPr>
        <w:spacing w:line="360" w:lineRule="auto"/>
        <w:ind w:left="28" w:right="28"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考试</w:t>
      </w:r>
      <w:r>
        <w:rPr>
          <w:rFonts w:ascii="宋体" w:hAnsi="宋体"/>
          <w:color w:val="000000"/>
          <w:sz w:val="24"/>
        </w:rPr>
        <w:t>范围包括热传导、对流换热、辐射换热、传热过程与换热器四大部分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ascii="宋体" w:hAnsi="宋体"/>
          <w:color w:val="000000"/>
          <w:sz w:val="24"/>
        </w:rPr>
        <w:t>传热学考试的目标在于考查考生对传热学的基本概念、基本理论的掌握和分析求解传热学基本问题的能力。</w:t>
      </w:r>
    </w:p>
    <w:p w14:paraId="446E11B8">
      <w:pPr>
        <w:spacing w:line="360" w:lineRule="auto"/>
        <w:ind w:left="28" w:right="28" w:firstLine="420"/>
        <w:rPr>
          <w:rFonts w:ascii="宋体" w:hAnsi="宋体"/>
          <w:color w:val="444444"/>
          <w:sz w:val="24"/>
        </w:rPr>
      </w:pPr>
    </w:p>
    <w:p w14:paraId="4B242C19">
      <w:pPr>
        <w:spacing w:after="78" w:afterLines="25"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五. 考查要点：</w:t>
      </w:r>
    </w:p>
    <w:p w14:paraId="52421298">
      <w:pPr>
        <w:spacing w:after="78" w:afterLines="25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(一)、热传导</w:t>
      </w:r>
    </w:p>
    <w:p w14:paraId="2069FA18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1导热理论基础；</w:t>
      </w:r>
    </w:p>
    <w:p w14:paraId="4774D725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温度场、温度梯度，傅立叶导热定律；导热微分方程的分析与应用，定解条件及其数学表达式；</w:t>
      </w:r>
    </w:p>
    <w:p w14:paraId="2791A452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2稳态导热分析与计算：</w:t>
      </w:r>
    </w:p>
    <w:p w14:paraId="18A2E1FD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一维稳态导热问题的分析与计算，有内热源的简单问题的分析、计算；接触热阻的概念。扩展表面（肋片）导热的理论分析与应用，肋效率。导热问题数值解及基本概念。</w:t>
      </w:r>
    </w:p>
    <w:p w14:paraId="4E678A05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3非稳态导热：</w:t>
      </w:r>
    </w:p>
    <w:p w14:paraId="3CF0B971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非稳态导热与稳态导热的基本区别；集总参数分析法，热扩散率，傅立叶数，毕渥数，时间常数与正规状况阶段概念；非稳态导热数值解，显式格式，稳定性条件，隐式格式等概念。</w:t>
      </w:r>
    </w:p>
    <w:p w14:paraId="7EA80B62">
      <w:pPr>
        <w:spacing w:after="78" w:afterLines="25" w:line="360" w:lineRule="auto"/>
        <w:rPr>
          <w:rFonts w:hint="eastAsia" w:ascii="宋体" w:hAnsi="宋体"/>
          <w:sz w:val="24"/>
        </w:rPr>
      </w:pPr>
    </w:p>
    <w:p w14:paraId="602032A7">
      <w:pPr>
        <w:spacing w:after="78" w:afterLines="25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(二)、对流换热</w:t>
      </w:r>
    </w:p>
    <w:p w14:paraId="5EF72707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1对流换热理论基础：</w:t>
      </w:r>
    </w:p>
    <w:p w14:paraId="206D342B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对流换热的基本含义及主要影响因素；牛顿冷却定律；流动边界层与温度边界层的概念与应用；相似原理，相似准则数及其物理意义。雷诺数，努塞尔数，普朗特数，格拉晓夫数等。</w:t>
      </w:r>
    </w:p>
    <w:p w14:paraId="4350757A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2单相对流换热</w:t>
      </w:r>
    </w:p>
    <w:p w14:paraId="6207FB57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（1）强制对流：</w:t>
      </w:r>
    </w:p>
    <w:p w14:paraId="5C605E3A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①外部流动，沿平板的流动与换热；外掠单管与管束的流动与换热，临界雷诺数。</w:t>
      </w:r>
    </w:p>
    <w:p w14:paraId="5B4B08E8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②内部流动；管内层流及紊流；入口段与充分发展段，临界雷诺数，截面平均流速与定性温度；影响对流换热的各种因素，不同流态下的换热计算。</w:t>
      </w:r>
    </w:p>
    <w:p w14:paraId="0A7E7E31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③掌握强化对流换热的方法。</w:t>
      </w:r>
    </w:p>
    <w:p w14:paraId="4F481E0B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（2）自然对流：</w:t>
      </w:r>
    </w:p>
    <w:p w14:paraId="3B86BF6E">
      <w:pPr>
        <w:spacing w:after="78" w:afterLines="25" w:line="360" w:lineRule="auto"/>
        <w:ind w:left="42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①大空间自然对流换热计算，边界层特点。</w:t>
      </w:r>
    </w:p>
    <w:p w14:paraId="020159AF">
      <w:pPr>
        <w:spacing w:after="78" w:afterLines="25" w:line="360" w:lineRule="auto"/>
        <w:ind w:left="42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②受限空间自然对流换热计算。混合对流换热的概念。</w:t>
      </w:r>
    </w:p>
    <w:p w14:paraId="1B928D72">
      <w:pPr>
        <w:spacing w:after="78" w:afterLines="25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3相变换热</w:t>
      </w:r>
    </w:p>
    <w:p w14:paraId="3F572E0F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（1）凝结换热的基本概念，珠状凝结、膜状凝结。影响凝结换热的因素。</w:t>
      </w:r>
    </w:p>
    <w:p w14:paraId="63D1DA49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（2）沸腾换热的基本概念，饱和沸腾，过冷沸腾，过热度（沸腾温差），大容器沸腾曲线。影响沸腾换热的因素及分析。</w:t>
      </w:r>
    </w:p>
    <w:p w14:paraId="45626A87">
      <w:pPr>
        <w:spacing w:after="78" w:afterLines="25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(三)、辐射换热</w:t>
      </w:r>
    </w:p>
    <w:p w14:paraId="195F479C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1热辐射理论基础：</w:t>
      </w:r>
    </w:p>
    <w:p w14:paraId="592D456E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热辐射涉及的基本概念，黑体辐射的普朗克定律，维恩位移定律，斯忒藩－波尔兹曼定律（四次方定律），兰贝特定律，黑体的波段辐射力计算。黑度（发射率），基尔霍夫定律，漫灰表面。实际物体的热辐射特性，气体辐射特性，温室效应。</w:t>
      </w:r>
    </w:p>
    <w:p w14:paraId="28D10629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2辐射换热计算：</w:t>
      </w:r>
    </w:p>
    <w:p w14:paraId="35770D5B">
      <w:pPr>
        <w:spacing w:after="78" w:afterLines="25"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角系数及其性质；空间热阻与表面热阻；有效辐射；漫灰表面封闭空腔的辐射换热计算；网络法求解辐射换热等。</w:t>
      </w:r>
    </w:p>
    <w:p w14:paraId="092B307A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辐射换热的强化与削弱方法，遮热板分析及计算。</w:t>
      </w:r>
    </w:p>
    <w:p w14:paraId="161FB986">
      <w:pPr>
        <w:spacing w:after="78" w:afterLines="25" w:line="360" w:lineRule="auto"/>
        <w:rPr>
          <w:rFonts w:hint="eastAsia" w:ascii="宋体" w:hAnsi="宋体"/>
          <w:sz w:val="24"/>
        </w:rPr>
      </w:pPr>
    </w:p>
    <w:p w14:paraId="315827BD">
      <w:pPr>
        <w:spacing w:after="78" w:afterLines="25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(四)、传热过程与换热器</w:t>
      </w:r>
    </w:p>
    <w:p w14:paraId="1073B86D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1传热过程，总传热系数，强化与削弱传热的方法，临界热绝缘直径。</w:t>
      </w:r>
    </w:p>
    <w:p w14:paraId="644A9AB6">
      <w:pPr>
        <w:spacing w:after="78" w:afterLines="25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2换热器计算的基本方程，对数平均温差，了解换热器设计及校核计算，污垢热阻。</w:t>
      </w:r>
    </w:p>
    <w:p w14:paraId="2124E50B">
      <w:pPr>
        <w:spacing w:after="78" w:afterLines="25" w:line="360" w:lineRule="auto"/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C853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 w14:paraId="21E00AFA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3CEB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3E0E763"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B042A"/>
    <w:multiLevelType w:val="multilevel"/>
    <w:tmpl w:val="575B042A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zVkNzlkZGIzZDYyMzgwODI2YWI5NWI2ZmY5Y2UifQ=="/>
  </w:docVars>
  <w:rsids>
    <w:rsidRoot w:val="007F3D4B"/>
    <w:rsid w:val="00066D66"/>
    <w:rsid w:val="00067280"/>
    <w:rsid w:val="000722B7"/>
    <w:rsid w:val="00090A24"/>
    <w:rsid w:val="000B7DAA"/>
    <w:rsid w:val="000D4589"/>
    <w:rsid w:val="000F19ED"/>
    <w:rsid w:val="001111C6"/>
    <w:rsid w:val="001A6467"/>
    <w:rsid w:val="001B5A82"/>
    <w:rsid w:val="001D3A4B"/>
    <w:rsid w:val="001E31D7"/>
    <w:rsid w:val="002210C9"/>
    <w:rsid w:val="00230034"/>
    <w:rsid w:val="00252F1E"/>
    <w:rsid w:val="002A3F7C"/>
    <w:rsid w:val="002B6EF6"/>
    <w:rsid w:val="00384315"/>
    <w:rsid w:val="00393378"/>
    <w:rsid w:val="003B389B"/>
    <w:rsid w:val="003F3096"/>
    <w:rsid w:val="00414B4E"/>
    <w:rsid w:val="00422D95"/>
    <w:rsid w:val="004415A0"/>
    <w:rsid w:val="004D69A1"/>
    <w:rsid w:val="004D6F1B"/>
    <w:rsid w:val="004E1E5E"/>
    <w:rsid w:val="004E1F1D"/>
    <w:rsid w:val="004E44FD"/>
    <w:rsid w:val="004F1479"/>
    <w:rsid w:val="004F1D00"/>
    <w:rsid w:val="004F5836"/>
    <w:rsid w:val="00542F47"/>
    <w:rsid w:val="00555129"/>
    <w:rsid w:val="00563017"/>
    <w:rsid w:val="00580C3D"/>
    <w:rsid w:val="00583EB2"/>
    <w:rsid w:val="00592E7F"/>
    <w:rsid w:val="005A11BC"/>
    <w:rsid w:val="005C79CF"/>
    <w:rsid w:val="006008A0"/>
    <w:rsid w:val="006015C7"/>
    <w:rsid w:val="00602C95"/>
    <w:rsid w:val="006762C5"/>
    <w:rsid w:val="006E126C"/>
    <w:rsid w:val="006E4010"/>
    <w:rsid w:val="007168EF"/>
    <w:rsid w:val="007A2835"/>
    <w:rsid w:val="007A55B4"/>
    <w:rsid w:val="007B695B"/>
    <w:rsid w:val="007C6855"/>
    <w:rsid w:val="007D08BB"/>
    <w:rsid w:val="007D3895"/>
    <w:rsid w:val="007F3364"/>
    <w:rsid w:val="007F3D4B"/>
    <w:rsid w:val="008022DF"/>
    <w:rsid w:val="008177DC"/>
    <w:rsid w:val="0082020D"/>
    <w:rsid w:val="008269C9"/>
    <w:rsid w:val="00844F40"/>
    <w:rsid w:val="008652AE"/>
    <w:rsid w:val="00871035"/>
    <w:rsid w:val="008A4516"/>
    <w:rsid w:val="008B3567"/>
    <w:rsid w:val="008B76E6"/>
    <w:rsid w:val="008C189D"/>
    <w:rsid w:val="008C449D"/>
    <w:rsid w:val="008D2319"/>
    <w:rsid w:val="00911619"/>
    <w:rsid w:val="009311D6"/>
    <w:rsid w:val="0093680B"/>
    <w:rsid w:val="0094387A"/>
    <w:rsid w:val="0094719B"/>
    <w:rsid w:val="009915A2"/>
    <w:rsid w:val="009A2884"/>
    <w:rsid w:val="009B1A93"/>
    <w:rsid w:val="009C021D"/>
    <w:rsid w:val="00A177F4"/>
    <w:rsid w:val="00A21794"/>
    <w:rsid w:val="00A21BBF"/>
    <w:rsid w:val="00A437F4"/>
    <w:rsid w:val="00A53131"/>
    <w:rsid w:val="00A96824"/>
    <w:rsid w:val="00AA1D8E"/>
    <w:rsid w:val="00AD427C"/>
    <w:rsid w:val="00B1270F"/>
    <w:rsid w:val="00B147E4"/>
    <w:rsid w:val="00B15BC5"/>
    <w:rsid w:val="00B239BB"/>
    <w:rsid w:val="00B774BF"/>
    <w:rsid w:val="00B91E9C"/>
    <w:rsid w:val="00BA0923"/>
    <w:rsid w:val="00C26954"/>
    <w:rsid w:val="00C84016"/>
    <w:rsid w:val="00C91305"/>
    <w:rsid w:val="00C918ED"/>
    <w:rsid w:val="00C97C77"/>
    <w:rsid w:val="00CA3976"/>
    <w:rsid w:val="00CB445F"/>
    <w:rsid w:val="00CD34F4"/>
    <w:rsid w:val="00CE1DE7"/>
    <w:rsid w:val="00CF38F4"/>
    <w:rsid w:val="00D15EEB"/>
    <w:rsid w:val="00D76167"/>
    <w:rsid w:val="00DB77D9"/>
    <w:rsid w:val="00DB7A2B"/>
    <w:rsid w:val="00DC418B"/>
    <w:rsid w:val="00DC4C11"/>
    <w:rsid w:val="00DC7D2C"/>
    <w:rsid w:val="00DD30E6"/>
    <w:rsid w:val="00DF408D"/>
    <w:rsid w:val="00DF4D44"/>
    <w:rsid w:val="00E355EA"/>
    <w:rsid w:val="00E41942"/>
    <w:rsid w:val="00E6523C"/>
    <w:rsid w:val="00E74D38"/>
    <w:rsid w:val="00E93AC7"/>
    <w:rsid w:val="00EA7534"/>
    <w:rsid w:val="00F06A53"/>
    <w:rsid w:val="00F47D74"/>
    <w:rsid w:val="00F64818"/>
    <w:rsid w:val="00F83BCB"/>
    <w:rsid w:val="00FD7A85"/>
    <w:rsid w:val="1D192A3B"/>
    <w:rsid w:val="1DDD6855"/>
    <w:rsid w:val="38FE535E"/>
    <w:rsid w:val="43611959"/>
    <w:rsid w:val="6EB11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tcnt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newyes</Company>
  <Pages>3</Pages>
  <Words>1119</Words>
  <Characters>1135</Characters>
  <Lines>9</Lines>
  <Paragraphs>2</Paragraphs>
  <TotalTime>0</TotalTime>
  <ScaleCrop>false</ScaleCrop>
  <LinksUpToDate>false</LinksUpToDate>
  <CharactersWithSpaces>1185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2014-09-14T06:56:00Z</dcterms:created>
  <dc:creator>YangXianlin</dc:creator>
  <cp:lastModifiedBy>vertesyuan</cp:lastModifiedBy>
  <cp:lastPrinted>2002-05-22T14:04:00Z</cp:lastPrinted>
  <dcterms:modified xsi:type="dcterms:W3CDTF">2024-10-10T05:13:05Z</dcterms:modified>
  <dc:title>《自动检测技术》课程教学大纲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6B922BFE0B2644B2ADD2DBDEA04700DF_13</vt:lpwstr>
  </property>
</Properties>
</file>