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7" w:lineRule="auto"/>
        <w:rPr>
          <w:rFonts w:ascii="Arial"/>
          <w:sz w:val="21"/>
        </w:rPr>
      </w:pPr>
      <w:r/>
    </w:p>
    <w:p>
      <w:pPr>
        <w:ind w:left="3053"/>
        <w:spacing w:before="146" w:line="354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11"/>
          <w:position w:val="-1"/>
        </w:rPr>
        <w:t>356</w:t>
      </w:r>
      <w:r>
        <w:rPr>
          <w:rFonts w:ascii="Arial" w:hAnsi="Arial" w:eastAsia="Arial" w:cs="Arial"/>
          <w:sz w:val="34"/>
          <w:szCs w:val="34"/>
          <w:spacing w:val="6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11"/>
          <w:position w:val="-1"/>
        </w:rPr>
        <w:t>城乡规划基础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566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569"/>
        <w:spacing w:before="153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1.</w:t>
      </w:r>
      <w:r>
        <w:rPr>
          <w:b/>
          <w:bCs/>
          <w:spacing w:val="-5"/>
        </w:rPr>
        <w:t>考试性质</w:t>
      </w:r>
    </w:p>
    <w:p>
      <w:pPr>
        <w:pStyle w:val="BodyText"/>
        <w:ind w:firstLine="561"/>
        <w:spacing w:before="155" w:line="314" w:lineRule="auto"/>
        <w:jc w:val="both"/>
        <w:rPr/>
      </w:pPr>
      <w:r>
        <w:rPr>
          <w:spacing w:val="1"/>
        </w:rPr>
        <w:t>城乡规划基础考试是为招收城乡规划学学术型、城乡规划专业型硕士</w:t>
      </w:r>
      <w:r>
        <w:rPr>
          <w:spacing w:val="8"/>
        </w:rPr>
        <w:t xml:space="preserve"> </w:t>
      </w:r>
      <w:r>
        <w:rPr>
          <w:spacing w:val="1"/>
        </w:rPr>
        <w:t>研究生而设置，其评价标准是高等学校优秀本科毕业生能达到及格或及格</w:t>
      </w:r>
      <w:r>
        <w:rPr>
          <w:spacing w:val="5"/>
        </w:rPr>
        <w:t xml:space="preserve"> </w:t>
      </w:r>
      <w:r>
        <w:rPr>
          <w:spacing w:val="-1"/>
        </w:rPr>
        <w:t>以上水平，保证被录取者具有基本的专业理论素质。</w:t>
      </w:r>
    </w:p>
    <w:p>
      <w:pPr>
        <w:pStyle w:val="BodyText"/>
        <w:ind w:left="557"/>
        <w:spacing w:before="42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评价目标</w:t>
      </w:r>
    </w:p>
    <w:p>
      <w:pPr>
        <w:pStyle w:val="BodyText"/>
        <w:ind w:left="1" w:firstLine="560"/>
        <w:spacing w:before="155" w:line="315" w:lineRule="auto"/>
        <w:jc w:val="both"/>
        <w:rPr/>
      </w:pPr>
      <w:r>
        <w:rPr>
          <w:spacing w:val="1"/>
        </w:rPr>
        <w:t>考查城乡规划的基本概念、基本原理，在此基础上考查考生应用城乡</w:t>
      </w:r>
      <w:r>
        <w:rPr>
          <w:spacing w:val="8"/>
        </w:rPr>
        <w:t xml:space="preserve"> </w:t>
      </w:r>
      <w:r>
        <w:rPr>
          <w:spacing w:val="1"/>
        </w:rPr>
        <w:t>规划的基本概念、基本原理，解决和分析城乡规划、建设和管理实际问题</w:t>
      </w:r>
      <w:r>
        <w:rPr>
          <w:spacing w:val="4"/>
        </w:rPr>
        <w:t xml:space="preserve"> </w:t>
      </w:r>
      <w:r>
        <w:rPr>
          <w:spacing w:val="-3"/>
        </w:rPr>
        <w:t>的能力。</w:t>
      </w:r>
    </w:p>
    <w:p>
      <w:pPr>
        <w:ind w:left="566"/>
        <w:spacing w:before="39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69"/>
        <w:spacing w:before="155" w:line="221" w:lineRule="auto"/>
        <w:outlineLvl w:val="2"/>
        <w:rPr>
          <w:rFonts w:ascii="Times New Roman" w:hAnsi="Times New Roman" w:eastAsia="Times New Roman" w:cs="Times New Roman"/>
        </w:rPr>
      </w:pPr>
      <w:r>
        <w:rPr>
          <w:b/>
          <w:bCs/>
          <w:spacing w:val="-4"/>
        </w:rPr>
        <w:t>（一）重点范围：约占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70%</w:t>
      </w:r>
    </w:p>
    <w:p>
      <w:pPr>
        <w:pStyle w:val="BodyText"/>
        <w:ind w:left="583"/>
        <w:spacing w:before="153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城市及城市空间认知</w:t>
      </w:r>
    </w:p>
    <w:p>
      <w:pPr>
        <w:pStyle w:val="BodyText"/>
        <w:ind w:left="569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）城市、城市化的概念</w:t>
      </w:r>
    </w:p>
    <w:p>
      <w:pPr>
        <w:pStyle w:val="BodyText"/>
        <w:ind w:left="569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）世界城市化发展过程特点</w:t>
      </w:r>
    </w:p>
    <w:p>
      <w:pPr>
        <w:pStyle w:val="BodyText"/>
        <w:ind w:left="569"/>
        <w:spacing w:before="157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）中国现阶段城市化发展特点</w:t>
      </w:r>
    </w:p>
    <w:p>
      <w:pPr>
        <w:pStyle w:val="BodyText"/>
        <w:ind w:left="569"/>
        <w:spacing w:before="15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）城市空间要素：道路、交通等基础知识</w:t>
      </w:r>
    </w:p>
    <w:p>
      <w:pPr>
        <w:pStyle w:val="BodyText"/>
        <w:ind w:left="556" w:right="2709" w:firstLine="13"/>
        <w:spacing w:before="154" w:line="272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）城市空间组织：城市交通战略等基础知识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城市规划理论及实践认知</w:t>
      </w:r>
    </w:p>
    <w:p>
      <w:pPr>
        <w:pStyle w:val="BodyText"/>
        <w:ind w:left="569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）现代城市规划产生的历史背景，理论渊源</w:t>
      </w:r>
    </w:p>
    <w:p>
      <w:pPr>
        <w:pStyle w:val="BodyText"/>
        <w:ind w:left="569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）现代城市规划理论与实践</w:t>
      </w:r>
    </w:p>
    <w:p>
      <w:pPr>
        <w:pStyle w:val="BodyText"/>
        <w:ind w:left="569"/>
        <w:spacing w:before="157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）当代城市规划方法的变革</w:t>
      </w:r>
    </w:p>
    <w:p>
      <w:pPr>
        <w:pStyle w:val="BodyText"/>
        <w:ind w:left="562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城市规划的工作内容和编制序列</w:t>
      </w:r>
    </w:p>
    <w:p>
      <w:pPr>
        <w:pStyle w:val="BodyText"/>
        <w:ind w:left="569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）城市规划的任务</w:t>
      </w:r>
    </w:p>
    <w:p>
      <w:pPr>
        <w:pStyle w:val="BodyText"/>
        <w:ind w:left="569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）城市规划工作的特点</w:t>
      </w:r>
    </w:p>
    <w:p>
      <w:pPr>
        <w:spacing w:line="221" w:lineRule="auto"/>
        <w:sectPr>
          <w:footerReference w:type="default" r:id="rId1"/>
          <w:pgSz w:w="12070" w:h="16950"/>
          <w:pgMar w:top="1440" w:right="1471" w:bottom="1844" w:left="1597" w:header="0" w:footer="1628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568"/>
        <w:spacing w:before="91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）城市规划编制体系</w:t>
      </w:r>
    </w:p>
    <w:p>
      <w:pPr>
        <w:pStyle w:val="BodyText"/>
        <w:ind w:left="568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）城市总体规划修改的规定</w:t>
      </w:r>
    </w:p>
    <w:p>
      <w:pPr>
        <w:pStyle w:val="BodyText"/>
        <w:ind w:left="568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）城市规划的审批规定</w:t>
      </w:r>
    </w:p>
    <w:p>
      <w:pPr>
        <w:pStyle w:val="BodyText"/>
        <w:ind w:left="554" w:right="746" w:firstLine="14"/>
        <w:spacing w:before="153" w:line="273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）城市规划与土地利用总体规划、经济社会发展规划的关系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城市性质与人口</w:t>
      </w:r>
    </w:p>
    <w:p>
      <w:pPr>
        <w:pStyle w:val="BodyText"/>
        <w:ind w:left="568"/>
        <w:spacing w:before="154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）城市性质的含义，确定城市性质的依据和方法，城市类型划分</w:t>
      </w:r>
    </w:p>
    <w:p>
      <w:pPr>
        <w:pStyle w:val="BodyText"/>
        <w:ind w:firstLine="568"/>
        <w:spacing w:before="155" w:line="275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）城市人口的含义，城市人口的构成，预测城市人口发展规模的方</w:t>
      </w:r>
      <w:r>
        <w:rPr>
          <w:spacing w:val="12"/>
        </w:rPr>
        <w:t xml:space="preserve"> </w:t>
      </w:r>
      <w:r>
        <w:rPr/>
        <w:t>法</w:t>
      </w:r>
    </w:p>
    <w:p>
      <w:pPr>
        <w:pStyle w:val="BodyText"/>
        <w:ind w:left="563"/>
        <w:spacing w:before="147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城市用地的评价与分类</w:t>
      </w:r>
    </w:p>
    <w:p>
      <w:pPr>
        <w:pStyle w:val="BodyText"/>
        <w:ind w:left="568"/>
        <w:spacing w:before="15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）城市用地及用地规模的概念</w:t>
      </w:r>
    </w:p>
    <w:p>
      <w:pPr>
        <w:pStyle w:val="BodyText"/>
        <w:ind w:left="568"/>
        <w:spacing w:before="158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）城市用地适用性评价</w:t>
      </w:r>
    </w:p>
    <w:p>
      <w:pPr>
        <w:pStyle w:val="BodyText"/>
        <w:ind w:left="568"/>
        <w:spacing w:before="158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）城市建设用地评价及选择</w:t>
      </w:r>
    </w:p>
    <w:p>
      <w:pPr>
        <w:pStyle w:val="BodyText"/>
        <w:ind w:left="568"/>
        <w:spacing w:before="156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）城市用地构成：用地分类及代号，用地平衡表的制作</w:t>
      </w:r>
    </w:p>
    <w:p>
      <w:pPr>
        <w:pStyle w:val="BodyText"/>
        <w:ind w:left="568"/>
        <w:spacing w:before="15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）城市用地指标</w:t>
      </w:r>
    </w:p>
    <w:p>
      <w:pPr>
        <w:pStyle w:val="BodyText"/>
        <w:ind w:left="561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主要类型的用地规划</w:t>
      </w:r>
    </w:p>
    <w:p>
      <w:pPr>
        <w:pStyle w:val="BodyText"/>
        <w:ind w:left="568"/>
        <w:spacing w:before="15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）居住用地：居住用地的组成与分类，规划布置要求</w:t>
      </w:r>
    </w:p>
    <w:p>
      <w:pPr>
        <w:pStyle w:val="BodyText"/>
        <w:ind w:left="4" w:firstLine="564"/>
        <w:spacing w:before="159" w:line="27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）工业用地：布置的基本要求，工业在城市中布置的一般原则和形</w:t>
      </w:r>
      <w:r>
        <w:rPr>
          <w:spacing w:val="12"/>
        </w:rPr>
        <w:t xml:space="preserve"> </w:t>
      </w:r>
      <w:r>
        <w:rPr>
          <w:spacing w:val="-2"/>
        </w:rPr>
        <w:t>式，工业用地布局与城市的关系</w:t>
      </w:r>
    </w:p>
    <w:p>
      <w:pPr>
        <w:pStyle w:val="BodyText"/>
        <w:ind w:left="568"/>
        <w:spacing w:before="157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）仓储用地</w:t>
      </w:r>
    </w:p>
    <w:p>
      <w:pPr>
        <w:pStyle w:val="BodyText"/>
        <w:ind w:left="3" w:firstLine="565"/>
        <w:spacing w:before="155" w:line="27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）公共设施用地：公共设施用地的分类及布局要求，城市中心的组</w:t>
      </w:r>
      <w:r>
        <w:rPr>
          <w:spacing w:val="12"/>
        </w:rPr>
        <w:t xml:space="preserve"> </w:t>
      </w:r>
      <w:r>
        <w:rPr>
          <w:spacing w:val="-3"/>
        </w:rPr>
        <w:t>织与分布要求</w:t>
      </w:r>
    </w:p>
    <w:p>
      <w:pPr>
        <w:pStyle w:val="BodyText"/>
        <w:ind w:left="568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）城市绿地：城市绿地的分类及指标，城市绿地系统的布局要求</w:t>
      </w:r>
    </w:p>
    <w:p>
      <w:pPr>
        <w:pStyle w:val="BodyText"/>
        <w:ind w:left="559" w:right="4106" w:firstLine="8"/>
        <w:spacing w:before="159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）城市对外交通及道路广场用地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7.</w:t>
      </w:r>
      <w:r>
        <w:rPr>
          <w:spacing w:val="-2"/>
        </w:rPr>
        <w:t>城市总体布局</w:t>
      </w:r>
    </w:p>
    <w:p>
      <w:pPr>
        <w:pStyle w:val="BodyText"/>
        <w:ind w:left="568"/>
        <w:spacing w:before="15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）城市功能、结构与形态</w:t>
      </w:r>
    </w:p>
    <w:p>
      <w:pPr>
        <w:pStyle w:val="BodyText"/>
        <w:ind w:left="568"/>
        <w:spacing w:before="15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）城市总体布局的基本原则</w:t>
      </w:r>
    </w:p>
    <w:p>
      <w:pPr>
        <w:spacing w:line="220" w:lineRule="auto"/>
        <w:sectPr>
          <w:footerReference w:type="default" r:id="rId2"/>
          <w:pgSz w:w="12070" w:h="16950"/>
          <w:pgMar w:top="1440" w:right="1473" w:bottom="1844" w:left="1598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568"/>
        <w:spacing w:before="91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）城市总体布局方案优化的方法</w:t>
      </w:r>
    </w:p>
    <w:p>
      <w:pPr>
        <w:pStyle w:val="BodyText"/>
        <w:ind w:left="568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）规划方案比较的内容与方法</w:t>
      </w:r>
    </w:p>
    <w:p>
      <w:pPr>
        <w:pStyle w:val="BodyText"/>
        <w:ind w:left="568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）城市空间管制规划</w:t>
      </w:r>
    </w:p>
    <w:p>
      <w:pPr>
        <w:pStyle w:val="BodyText"/>
        <w:ind w:left="568"/>
        <w:spacing w:before="15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）规划区、中心城区、中心城区空间增长边界等概念</w:t>
      </w:r>
    </w:p>
    <w:p>
      <w:pPr>
        <w:pStyle w:val="BodyText"/>
        <w:ind w:left="566" w:right="4501" w:firstLine="1"/>
        <w:spacing w:before="156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）城市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四线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规划内容及要求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8.</w:t>
      </w:r>
      <w:r>
        <w:rPr>
          <w:spacing w:val="-2"/>
        </w:rPr>
        <w:t>城市规划中的工程规划</w:t>
      </w:r>
    </w:p>
    <w:p>
      <w:pPr>
        <w:pStyle w:val="BodyText"/>
        <w:ind w:left="568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）综合交通规划、交通专项规划</w:t>
      </w:r>
    </w:p>
    <w:p>
      <w:pPr>
        <w:pStyle w:val="BodyText"/>
        <w:ind w:firstLine="568"/>
        <w:spacing w:before="155" w:line="271" w:lineRule="auto"/>
        <w:rPr/>
      </w:pPr>
      <w:r>
        <w:rPr>
          <w:spacing w:val="-10"/>
        </w:rPr>
        <w:t>（</w:t>
      </w: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spacing w:val="-10"/>
        </w:rPr>
        <w:t>）城市给水工程规划：给水水源选择及保护要求，给水系统的组成，</w:t>
      </w:r>
      <w:r>
        <w:rPr>
          <w:spacing w:val="8"/>
        </w:rPr>
        <w:t xml:space="preserve"> </w:t>
      </w:r>
      <w:r>
        <w:rPr>
          <w:spacing w:val="-2"/>
        </w:rPr>
        <w:t>给水管网布置要求</w:t>
      </w:r>
    </w:p>
    <w:p>
      <w:pPr>
        <w:pStyle w:val="BodyText"/>
        <w:ind w:left="2" w:right="80" w:firstLine="566"/>
        <w:spacing w:before="155" w:line="273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）城市排水工程规划：排水工程的组成、布置形式，排水制度，污</w:t>
      </w:r>
      <w:r>
        <w:rPr>
          <w:spacing w:val="12"/>
        </w:rPr>
        <w:t xml:space="preserve"> </w:t>
      </w:r>
      <w:r>
        <w:rPr>
          <w:spacing w:val="-2"/>
        </w:rPr>
        <w:t>水处理厂用地选择要求</w:t>
      </w:r>
    </w:p>
    <w:p>
      <w:pPr>
        <w:pStyle w:val="BodyText"/>
        <w:ind w:left="568"/>
        <w:spacing w:before="154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）电力工程规划：发电厂、变电所、电力走廊的选址及布置要求</w:t>
      </w:r>
    </w:p>
    <w:p>
      <w:pPr>
        <w:pStyle w:val="BodyText"/>
        <w:ind w:left="4" w:right="80" w:firstLine="564"/>
        <w:spacing w:before="158" w:line="27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）城市燃气工程规划：燃气厂及各种煤气供应设施在城市中的选择</w:t>
      </w:r>
      <w:r>
        <w:rPr>
          <w:spacing w:val="12"/>
        </w:rPr>
        <w:t xml:space="preserve"> </w:t>
      </w:r>
      <w:r>
        <w:rPr>
          <w:spacing w:val="-3"/>
        </w:rPr>
        <w:t>与布置要求</w:t>
      </w:r>
    </w:p>
    <w:p>
      <w:pPr>
        <w:pStyle w:val="BodyText"/>
        <w:ind w:left="568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）城市供热工程规划：城市供热的方式，热力干线布置要求</w:t>
      </w:r>
    </w:p>
    <w:p>
      <w:pPr>
        <w:pStyle w:val="BodyText"/>
        <w:ind w:left="568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）城市电讯工程规划：邮政、电讯设置布点要求</w:t>
      </w:r>
    </w:p>
    <w:p>
      <w:pPr>
        <w:pStyle w:val="BodyText"/>
        <w:ind w:right="80" w:firstLine="568"/>
        <w:spacing w:before="159" w:line="27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spacing w:val="-4"/>
        </w:rPr>
        <w:t>）城市防灾规划：城市防灾规划内容，生命线工程内容，城市防洪</w:t>
      </w:r>
      <w:r>
        <w:rPr>
          <w:spacing w:val="12"/>
        </w:rPr>
        <w:t xml:space="preserve"> </w:t>
      </w:r>
      <w:r>
        <w:rPr>
          <w:spacing w:val="-1"/>
        </w:rPr>
        <w:t>标准及防洪措施，消防站布点及占地要求</w:t>
      </w:r>
    </w:p>
    <w:p>
      <w:pPr>
        <w:pStyle w:val="BodyText"/>
        <w:ind w:left="560"/>
        <w:spacing w:before="157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9.</w:t>
      </w:r>
      <w:r>
        <w:rPr>
          <w:spacing w:val="-1"/>
        </w:rPr>
        <w:t>分区规划、近期建设规划及控制性详细规划</w:t>
      </w:r>
    </w:p>
    <w:p>
      <w:pPr>
        <w:pStyle w:val="BodyText"/>
        <w:ind w:left="21" w:right="78" w:firstLine="546"/>
        <w:spacing w:before="153" w:line="272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）分区规划的概念，分区规划的主要内容，分区规划与总体、控规</w:t>
      </w:r>
      <w:r>
        <w:rPr>
          <w:spacing w:val="14"/>
        </w:rPr>
        <w:t xml:space="preserve"> </w:t>
      </w:r>
      <w:r>
        <w:rPr>
          <w:spacing w:val="-4"/>
        </w:rPr>
        <w:t>的内容区别及衔接联系</w:t>
      </w:r>
    </w:p>
    <w:p>
      <w:pPr>
        <w:pStyle w:val="BodyText"/>
        <w:ind w:left="568"/>
        <w:spacing w:before="15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）近期建设规划概念、编制程序，近期建设规划的内容及特点</w:t>
      </w:r>
    </w:p>
    <w:p>
      <w:pPr>
        <w:pStyle w:val="BodyText"/>
        <w:ind w:left="581" w:right="5867" w:hanging="13"/>
        <w:spacing w:before="158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）控制性详细规划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10.</w:t>
      </w:r>
      <w:r>
        <w:rPr>
          <w:spacing w:val="-5"/>
        </w:rPr>
        <w:t>居住区规划</w:t>
      </w:r>
    </w:p>
    <w:p>
      <w:pPr>
        <w:pStyle w:val="BodyText"/>
        <w:ind w:left="568"/>
        <w:spacing w:before="153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）居住区的组成与规模</w:t>
      </w:r>
    </w:p>
    <w:p>
      <w:pPr>
        <w:pStyle w:val="BodyText"/>
        <w:ind w:left="568"/>
        <w:spacing w:before="15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）居住区的规划结构</w:t>
      </w:r>
    </w:p>
    <w:p>
      <w:pPr>
        <w:spacing w:line="221" w:lineRule="auto"/>
        <w:sectPr>
          <w:footerReference w:type="default" r:id="rId3"/>
          <w:pgSz w:w="12070" w:h="16950"/>
          <w:pgMar w:top="1440" w:right="1393" w:bottom="1844" w:left="1598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568"/>
        <w:spacing w:before="91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）居住区规划设计要求</w:t>
      </w:r>
    </w:p>
    <w:p>
      <w:pPr>
        <w:pStyle w:val="BodyText"/>
        <w:ind w:left="568"/>
        <w:spacing w:before="153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）居住区规划设计的技术经济指标</w:t>
      </w:r>
    </w:p>
    <w:p>
      <w:pPr>
        <w:pStyle w:val="BodyText"/>
        <w:ind w:left="568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）社区规划概念及特点</w:t>
      </w:r>
    </w:p>
    <w:p>
      <w:pPr>
        <w:pStyle w:val="BodyText"/>
        <w:ind w:left="582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11.</w:t>
      </w:r>
      <w:r>
        <w:rPr>
          <w:spacing w:val="-2"/>
        </w:rPr>
        <w:t>城市历史文化遗产保护与城市更新</w:t>
      </w:r>
    </w:p>
    <w:p>
      <w:pPr>
        <w:pStyle w:val="BodyText"/>
        <w:ind w:left="568"/>
        <w:spacing w:before="15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）城市历史文化遗产保护</w:t>
      </w:r>
    </w:p>
    <w:p>
      <w:pPr>
        <w:pStyle w:val="BodyText"/>
        <w:ind w:left="568"/>
        <w:spacing w:before="15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）城市更新</w:t>
      </w:r>
    </w:p>
    <w:p>
      <w:pPr>
        <w:pStyle w:val="BodyText"/>
        <w:ind w:left="582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12.</w:t>
      </w:r>
      <w:r>
        <w:rPr>
          <w:spacing w:val="-3"/>
        </w:rPr>
        <w:t>城市规划管理与法规</w:t>
      </w:r>
    </w:p>
    <w:p>
      <w:pPr>
        <w:pStyle w:val="BodyText"/>
        <w:ind w:left="4" w:firstLine="564"/>
        <w:spacing w:before="154" w:line="272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）城市规划管理的基本知识：城市规划管理的概念，城市规划管理</w:t>
      </w:r>
      <w:r>
        <w:rPr>
          <w:spacing w:val="12"/>
        </w:rPr>
        <w:t xml:space="preserve"> </w:t>
      </w:r>
      <w:r>
        <w:rPr>
          <w:spacing w:val="-2"/>
        </w:rPr>
        <w:t>系统，城市规划管理的原则</w:t>
      </w:r>
    </w:p>
    <w:p>
      <w:pPr>
        <w:pStyle w:val="BodyText"/>
        <w:ind w:left="568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）城市规划管理运作</w:t>
      </w:r>
    </w:p>
    <w:p>
      <w:pPr>
        <w:pStyle w:val="BodyText"/>
        <w:ind w:left="5" w:firstLine="562"/>
        <w:spacing w:before="157" w:line="274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）法规文件：了解《中华人民共和国城乡规划法》等主要的技术规</w:t>
      </w:r>
      <w:r>
        <w:rPr>
          <w:spacing w:val="12"/>
        </w:rPr>
        <w:t xml:space="preserve"> </w:t>
      </w:r>
      <w:r>
        <w:rPr/>
        <w:t>范</w:t>
      </w:r>
    </w:p>
    <w:p>
      <w:pPr>
        <w:pStyle w:val="BodyText"/>
        <w:ind w:left="568"/>
        <w:spacing w:before="149" w:line="221" w:lineRule="auto"/>
        <w:outlineLvl w:val="2"/>
        <w:rPr/>
      </w:pPr>
      <w:r>
        <w:rPr>
          <w:b/>
          <w:bCs/>
          <w:spacing w:val="-1"/>
        </w:rPr>
        <w:t>（二）扩展范围</w:t>
      </w:r>
      <w:r>
        <w:rPr>
          <w:b/>
          <w:bCs/>
          <w:spacing w:val="-17"/>
        </w:rPr>
        <w:t>：（</w:t>
      </w:r>
      <w:r>
        <w:rPr>
          <w:b/>
          <w:bCs/>
          <w:spacing w:val="-1"/>
        </w:rPr>
        <w:t>约占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30%</w:t>
      </w:r>
      <w:r>
        <w:rPr>
          <w:b/>
          <w:bCs/>
          <w:spacing w:val="-1"/>
        </w:rPr>
        <w:t>）</w:t>
      </w:r>
    </w:p>
    <w:p>
      <w:pPr>
        <w:pStyle w:val="BodyText"/>
        <w:ind w:left="582"/>
        <w:spacing w:before="154" w:line="222" w:lineRule="auto"/>
        <w:rPr/>
      </w:pPr>
      <w:r>
        <w:rPr>
          <w:rFonts w:ascii="Times New Roman" w:hAnsi="Times New Roman" w:eastAsia="Times New Roman" w:cs="Times New Roman"/>
          <w:spacing w:val="-5"/>
        </w:rPr>
        <w:t>13.</w:t>
      </w:r>
      <w:r>
        <w:rPr>
          <w:spacing w:val="-5"/>
        </w:rPr>
        <w:t>规划前沿</w:t>
      </w:r>
    </w:p>
    <w:p>
      <w:pPr>
        <w:pStyle w:val="BodyText"/>
        <w:ind w:left="568"/>
        <w:spacing w:before="152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）生态文明与空间规划</w:t>
      </w:r>
    </w:p>
    <w:p>
      <w:pPr>
        <w:pStyle w:val="BodyText"/>
        <w:ind w:left="568"/>
        <w:spacing w:before="15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）健康城镇化</w:t>
      </w:r>
    </w:p>
    <w:p>
      <w:pPr>
        <w:pStyle w:val="BodyText"/>
        <w:ind w:left="568"/>
        <w:spacing w:before="157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）区域协调与城乡统筹规划</w:t>
      </w:r>
    </w:p>
    <w:p>
      <w:pPr>
        <w:pStyle w:val="BodyText"/>
        <w:ind w:left="568"/>
        <w:spacing w:before="15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）其他规划理论和实践前沿问题</w:t>
      </w:r>
    </w:p>
    <w:p>
      <w:pPr>
        <w:ind w:left="566"/>
        <w:spacing w:before="153" w:line="222" w:lineRule="auto"/>
        <w:outlineLvl w:val="3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firstLine="561"/>
        <w:spacing w:before="155" w:line="311" w:lineRule="auto"/>
        <w:rPr/>
      </w:pPr>
      <w:r>
        <w:rPr>
          <w:spacing w:val="-1"/>
        </w:rPr>
        <w:t>本考试为闭卷、笔试考试，满分为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150 </w:t>
      </w:r>
      <w:r>
        <w:rPr>
          <w:spacing w:val="-1"/>
        </w:rPr>
        <w:t>分，考试时间为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180 </w:t>
      </w:r>
      <w:r>
        <w:rPr>
          <w:spacing w:val="-1"/>
        </w:rPr>
        <w:t>分钟。基</w:t>
      </w:r>
      <w:r>
        <w:rPr/>
        <w:t xml:space="preserve"> </w:t>
      </w:r>
      <w:r>
        <w:rPr>
          <w:spacing w:val="-2"/>
        </w:rPr>
        <w:t>本概念：约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20%</w:t>
      </w:r>
      <w:r>
        <w:rPr>
          <w:spacing w:val="-2"/>
        </w:rPr>
        <w:t>；基本原理：约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50%</w:t>
      </w:r>
      <w:r>
        <w:rPr>
          <w:spacing w:val="-2"/>
        </w:rPr>
        <w:t>；实际问题：约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30%</w:t>
      </w:r>
      <w:r>
        <w:rPr>
          <w:spacing w:val="-2"/>
        </w:rPr>
        <w:t>。</w:t>
      </w:r>
    </w:p>
    <w:p>
      <w:pPr>
        <w:ind w:left="577"/>
        <w:spacing w:before="34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left="582"/>
        <w:spacing w:before="110" w:line="369" w:lineRule="exact"/>
        <w:rPr/>
      </w:pPr>
      <w:r>
        <w:rPr>
          <w:rFonts w:ascii="Times New Roman" w:hAnsi="Times New Roman" w:eastAsia="Times New Roman" w:cs="Times New Roman"/>
          <w:spacing w:val="-6"/>
          <w:position w:val="1"/>
        </w:rPr>
        <w:t>1.</w:t>
      </w:r>
      <w:r>
        <w:rPr>
          <w:spacing w:val="-6"/>
          <w:position w:val="1"/>
        </w:rPr>
        <w:t>名词解释，约</w:t>
      </w:r>
      <w:r>
        <w:rPr>
          <w:spacing w:val="-32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1"/>
        </w:rPr>
        <w:t>10%</w:t>
      </w:r>
      <w:r>
        <w:rPr>
          <w:spacing w:val="-6"/>
          <w:position w:val="1"/>
        </w:rPr>
        <w:t>；</w:t>
      </w:r>
    </w:p>
    <w:p>
      <w:pPr>
        <w:pStyle w:val="BodyText"/>
        <w:ind w:left="555"/>
        <w:spacing w:before="121" w:line="368" w:lineRule="exact"/>
        <w:rPr/>
      </w:pPr>
      <w:r>
        <w:rPr>
          <w:rFonts w:ascii="Times New Roman" w:hAnsi="Times New Roman" w:eastAsia="Times New Roman" w:cs="Times New Roman"/>
          <w:spacing w:val="-1"/>
          <w:position w:val="1"/>
        </w:rPr>
        <w:t>2.</w:t>
      </w:r>
      <w:r>
        <w:rPr>
          <w:spacing w:val="-1"/>
          <w:position w:val="1"/>
        </w:rPr>
        <w:t>选择题或填空题，约</w:t>
      </w:r>
      <w:r>
        <w:rPr>
          <w:spacing w:val="-62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</w:rPr>
        <w:t>20%</w:t>
      </w:r>
      <w:r>
        <w:rPr>
          <w:spacing w:val="-1"/>
          <w:position w:val="1"/>
        </w:rPr>
        <w:t>；</w:t>
      </w:r>
    </w:p>
    <w:p>
      <w:pPr>
        <w:pStyle w:val="BodyText"/>
        <w:ind w:left="554" w:right="6016" w:firstLine="7"/>
        <w:spacing w:before="125" w:line="301" w:lineRule="auto"/>
        <w:rPr/>
      </w:pPr>
      <w:r>
        <w:rPr>
          <w:rFonts w:ascii="Times New Roman" w:hAnsi="Times New Roman" w:eastAsia="Times New Roman" w:cs="Times New Roman"/>
          <w:spacing w:val="-9"/>
        </w:rPr>
        <w:t>3.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9"/>
        </w:rPr>
        <w:t>问答题，约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40%</w:t>
      </w:r>
      <w:r>
        <w:rPr>
          <w:spacing w:val="-9"/>
        </w:rPr>
        <w:t>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6"/>
        </w:rPr>
        <w:t>4.</w:t>
      </w:r>
      <w:r>
        <w:rPr>
          <w:spacing w:val="-6"/>
        </w:rPr>
        <w:t>论述题，约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30%</w:t>
      </w:r>
      <w:r>
        <w:rPr>
          <w:spacing w:val="-6"/>
        </w:rPr>
        <w:t>。</w:t>
      </w:r>
    </w:p>
    <w:p>
      <w:pPr>
        <w:spacing w:line="301" w:lineRule="auto"/>
        <w:sectPr>
          <w:footerReference w:type="default" r:id="rId4"/>
          <w:pgSz w:w="12070" w:h="16950"/>
          <w:pgMar w:top="1440" w:right="1473" w:bottom="1844" w:left="1598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568"/>
        <w:spacing w:before="91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5" w:firstLine="576"/>
        <w:spacing w:before="152" w:line="309" w:lineRule="auto"/>
        <w:rPr/>
      </w:pPr>
      <w:r>
        <w:rPr>
          <w:rFonts w:ascii="Times New Roman" w:hAnsi="Times New Roman" w:eastAsia="Times New Roman" w:cs="Times New Roman"/>
          <w:spacing w:val="2"/>
        </w:rPr>
        <w:t>1.</w:t>
      </w:r>
      <w:r>
        <w:rPr>
          <w:spacing w:val="2"/>
        </w:rPr>
        <w:t>《城市规划原理》，吴志强主编，中国建筑工业出版社，</w:t>
      </w:r>
      <w:r>
        <w:rPr>
          <w:rFonts w:ascii="Times New Roman" w:hAnsi="Times New Roman" w:eastAsia="Times New Roman" w:cs="Times New Roman"/>
          <w:spacing w:val="2"/>
        </w:rPr>
        <w:t>201</w:t>
      </w:r>
      <w:r>
        <w:rPr>
          <w:rFonts w:ascii="Times New Roman" w:hAnsi="Times New Roman" w:eastAsia="Times New Roman" w:cs="Times New Roman"/>
          <w:spacing w:val="1"/>
        </w:rPr>
        <w:t>0 </w:t>
      </w:r>
      <w:r>
        <w:rPr>
          <w:spacing w:val="1"/>
        </w:rPr>
        <w:t>年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8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6"/>
        </w:rPr>
        <w:t>月版；</w:t>
      </w:r>
    </w:p>
    <w:p>
      <w:pPr>
        <w:pStyle w:val="BodyText"/>
        <w:ind w:left="20" w:right="49" w:firstLine="534"/>
        <w:spacing w:before="40" w:line="311" w:lineRule="auto"/>
        <w:rPr/>
      </w:pPr>
      <w:r>
        <w:rPr>
          <w:rFonts w:ascii="Times New Roman" w:hAnsi="Times New Roman" w:eastAsia="Times New Roman" w:cs="Times New Roman"/>
        </w:rPr>
        <w:t>2.</w:t>
      </w:r>
      <w:r>
        <w:rPr/>
        <w:t>《中国城市建设史》，董鉴泓主编，中国建筑工业出版社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2014 </w:t>
      </w:r>
      <w:r>
        <w:rPr>
          <w:spacing w:val="-1"/>
        </w:rPr>
        <w:t>年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0"/>
        </w:rPr>
        <w:t>10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10"/>
        </w:rPr>
        <w:t>月版；</w:t>
      </w:r>
    </w:p>
    <w:p>
      <w:pPr>
        <w:pStyle w:val="BodyText"/>
        <w:ind w:right="49" w:firstLine="561"/>
        <w:spacing w:before="39" w:line="309" w:lineRule="auto"/>
        <w:rPr/>
      </w:pPr>
      <w:r>
        <w:rPr>
          <w:rFonts w:ascii="Times New Roman" w:hAnsi="Times New Roman" w:eastAsia="Times New Roman" w:cs="Times New Roman"/>
        </w:rPr>
        <w:t>3.</w:t>
      </w:r>
      <w:r>
        <w:rPr/>
        <w:t>《外国城市建设史》，沈玉麟主编，中国建</w:t>
      </w:r>
      <w:r>
        <w:rPr>
          <w:spacing w:val="-1"/>
        </w:rPr>
        <w:t>筑工业出版社，</w:t>
      </w:r>
      <w:r>
        <w:rPr>
          <w:rFonts w:ascii="Times New Roman" w:hAnsi="Times New Roman" w:eastAsia="Times New Roman" w:cs="Times New Roman"/>
          <w:spacing w:val="-1"/>
        </w:rPr>
        <w:t>2007 </w:t>
      </w:r>
      <w:r>
        <w:rPr>
          <w:spacing w:val="-1"/>
        </w:rPr>
        <w:t>年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7"/>
        </w:rPr>
        <w:t>6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7"/>
        </w:rPr>
        <w:t>月版。</w:t>
      </w:r>
    </w:p>
    <w:sectPr>
      <w:footerReference w:type="default" r:id="rId5"/>
      <w:pgSz w:w="12070" w:h="16950"/>
      <w:pgMar w:top="1440" w:right="1472" w:bottom="1841" w:left="1598" w:header="0" w:footer="162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0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7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8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76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84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2024-09-25T10:07:32Z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2024-10-11T22:43:58</vt:filetime>
  </property>
</Properties>
</file>