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60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6"/>
          <w:position w:val="-1"/>
        </w:rPr>
        <w:t>822</w:t>
      </w:r>
      <w:r>
        <w:rPr>
          <w:rFonts w:ascii="Arial" w:hAnsi="Arial" w:eastAsia="Arial" w:cs="Arial"/>
          <w:sz w:val="34"/>
          <w:szCs w:val="34"/>
          <w:spacing w:val="6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6"/>
          <w:position w:val="-1"/>
        </w:rPr>
        <w:t>电子技术基础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right="48" w:firstLine="561"/>
        <w:spacing w:before="146" w:line="307" w:lineRule="auto"/>
        <w:rPr/>
      </w:pPr>
      <w:r>
        <w:rPr>
          <w:spacing w:val="1"/>
        </w:rPr>
        <w:t>要求考生全面系统掌握电子技术基础（含模拟部分和数字部分）的基</w:t>
      </w:r>
      <w:r>
        <w:rPr>
          <w:spacing w:val="7"/>
        </w:rPr>
        <w:t xml:space="preserve"> </w:t>
      </w:r>
      <w:r>
        <w:rPr>
          <w:spacing w:val="1"/>
        </w:rPr>
        <w:t>本概念、基本电路、基本分析和设计方法，并灵活运用所学知识，具备分</w:t>
      </w:r>
      <w:r>
        <w:rPr>
          <w:spacing w:val="4"/>
        </w:rPr>
        <w:t xml:space="preserve"> </w:t>
      </w:r>
      <w:r>
        <w:rPr>
          <w:spacing w:val="-1"/>
        </w:rPr>
        <w:t>析和解决工程问题的能力。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9"/>
        <w:spacing w:before="144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模拟电子技术部分</w:t>
      </w:r>
    </w:p>
    <w:p>
      <w:pPr>
        <w:pStyle w:val="BodyText"/>
        <w:ind w:left="2" w:right="51" w:firstLine="567"/>
        <w:spacing w:before="147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）二极管、稳压管、场效应管、</w:t>
      </w:r>
      <w:r>
        <w:rPr>
          <w:rFonts w:ascii="Times New Roman" w:hAnsi="Times New Roman" w:eastAsia="Times New Roman" w:cs="Times New Roman"/>
          <w:spacing w:val="-3"/>
        </w:rPr>
        <w:t>BJT </w:t>
      </w:r>
      <w:r>
        <w:rPr>
          <w:spacing w:val="-3"/>
        </w:rPr>
        <w:t>等基本电子元器件的特性和应</w:t>
      </w:r>
      <w:r>
        <w:rPr>
          <w:spacing w:val="10"/>
        </w:rPr>
        <w:t xml:space="preserve"> </w:t>
      </w:r>
      <w:r>
        <w:rPr>
          <w:spacing w:val="-7"/>
        </w:rPr>
        <w:t>用。</w:t>
      </w:r>
    </w:p>
    <w:p>
      <w:pPr>
        <w:pStyle w:val="BodyText"/>
        <w:ind w:left="2" w:right="48" w:firstLine="567"/>
        <w:spacing w:before="141" w:line="28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）基本放大器、多级放大器的分析与计算：包括电路的构成、放大</w:t>
      </w:r>
      <w:r>
        <w:rPr>
          <w:spacing w:val="14"/>
        </w:rPr>
        <w:t xml:space="preserve"> </w:t>
      </w:r>
      <w:r>
        <w:rPr>
          <w:spacing w:val="1"/>
        </w:rPr>
        <w:t>条件、特点；静态工作点、输入电阻、输出电阻、放大倍数（增益）、频</w:t>
      </w:r>
      <w:r>
        <w:rPr>
          <w:spacing w:val="3"/>
        </w:rPr>
        <w:t xml:space="preserve"> </w:t>
      </w:r>
      <w:r>
        <w:rPr>
          <w:spacing w:val="-3"/>
        </w:rPr>
        <w:t>率响应等。</w:t>
      </w:r>
    </w:p>
    <w:p>
      <w:pPr>
        <w:pStyle w:val="BodyText"/>
        <w:ind w:left="18" w:right="51" w:firstLine="551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）差分放大器的分析与计算：包括静态工作点、输入电阻、输出电</w:t>
      </w:r>
      <w:r>
        <w:rPr>
          <w:spacing w:val="12"/>
        </w:rPr>
        <w:t xml:space="preserve"> </w:t>
      </w:r>
      <w:r>
        <w:rPr>
          <w:spacing w:val="-1"/>
        </w:rPr>
        <w:t>阻、放大倍数（共模增益、差模增益和共模</w:t>
      </w:r>
      <w:r>
        <w:rPr>
          <w:spacing w:val="-2"/>
        </w:rPr>
        <w:t>抑制比）等。</w:t>
      </w:r>
    </w:p>
    <w:p>
      <w:pPr>
        <w:pStyle w:val="BodyText"/>
        <w:ind w:right="1" w:firstLine="569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）功率放大器的分析与计算：包括功放的特点、交越失真、效率、</w:t>
      </w:r>
      <w:r>
        <w:rPr/>
        <w:t xml:space="preserve"> </w:t>
      </w:r>
      <w:r>
        <w:rPr>
          <w:spacing w:val="-2"/>
        </w:rPr>
        <w:t>器件参数要求等。</w:t>
      </w:r>
    </w:p>
    <w:p>
      <w:pPr>
        <w:pStyle w:val="BodyText"/>
        <w:ind w:left="30" w:right="48" w:firstLine="539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）集成运算放大器的主要参数，运放常用电路的分析与设计，包括</w:t>
      </w:r>
      <w:r>
        <w:rPr>
          <w:spacing w:val="14"/>
        </w:rPr>
        <w:t xml:space="preserve"> </w:t>
      </w:r>
      <w:r>
        <w:rPr>
          <w:spacing w:val="-2"/>
        </w:rPr>
        <w:t>比例运算、加法运算、减法运算、有源滤波、电压比较等。</w:t>
      </w:r>
    </w:p>
    <w:p>
      <w:pPr>
        <w:pStyle w:val="BodyText"/>
        <w:ind w:left="14" w:right="51" w:firstLine="555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）反馈放大器：包括反馈类型的判断，负反馈对放大电路性能的影</w:t>
      </w:r>
      <w:r>
        <w:rPr>
          <w:spacing w:val="12"/>
        </w:rPr>
        <w:t xml:space="preserve"> </w:t>
      </w:r>
      <w:r>
        <w:rPr>
          <w:spacing w:val="-2"/>
        </w:rPr>
        <w:t>响，在深度负反馈条件下增益的计算与分析等。</w:t>
      </w:r>
    </w:p>
    <w:p>
      <w:pPr>
        <w:pStyle w:val="BodyText"/>
        <w:ind w:left="569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）波形产生电路：包括正弦波和非正弦波产生电路等。</w:t>
      </w:r>
    </w:p>
    <w:p>
      <w:pPr>
        <w:pStyle w:val="BodyText"/>
        <w:spacing w:before="145" w:line="220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）线性稳压电源的基本构成、各部分的功能分析以及参数计算等。</w:t>
      </w:r>
    </w:p>
    <w:p>
      <w:pPr>
        <w:pStyle w:val="BodyText"/>
        <w:ind w:left="557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数字电子技术部分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）数制和二进制代码的转换。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）逻辑运算（代数法、卡诺图法）。</w:t>
      </w:r>
    </w:p>
    <w:p>
      <w:pPr>
        <w:pStyle w:val="BodyText"/>
        <w:spacing w:before="145" w:line="220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）构成数字系统的基本单元的外部特性及应用。包括逻辑门（与、</w:t>
      </w:r>
    </w:p>
    <w:p>
      <w:pPr>
        <w:spacing w:line="220" w:lineRule="auto"/>
        <w:sectPr>
          <w:footerReference w:type="default" r:id="rId1"/>
          <w:pgSz w:w="12070" w:h="16950"/>
          <w:pgMar w:top="1440" w:right="1422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jc w:val="right"/>
        <w:rPr/>
      </w:pPr>
      <w:r>
        <w:rPr>
          <w:spacing w:val="-11"/>
        </w:rPr>
        <w:t>或、非、与非、或非、与或非、异或等）与触发器（</w:t>
      </w:r>
      <w:r>
        <w:rPr>
          <w:rFonts w:ascii="Times New Roman" w:hAnsi="Times New Roman" w:eastAsia="Times New Roman" w:cs="Times New Roman"/>
          <w:spacing w:val="-11"/>
        </w:rPr>
        <w:t>RS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JK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T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T’</w:t>
      </w:r>
      <w:r>
        <w:rPr>
          <w:spacing w:val="-11"/>
        </w:rPr>
        <w:t>）。</w:t>
      </w:r>
    </w:p>
    <w:p>
      <w:pPr>
        <w:pStyle w:val="BodyText"/>
        <w:ind w:right="99" w:firstLine="569"/>
        <w:spacing w:before="101" w:line="287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spacing w:val="2"/>
        </w:rPr>
        <w:t>）组合逻辑单元电路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如编码器、译码器、分配器、选择器、比较</w:t>
      </w:r>
      <w:r>
        <w:rPr>
          <w:spacing w:val="12"/>
        </w:rPr>
        <w:t xml:space="preserve"> </w:t>
      </w:r>
      <w:r>
        <w:rPr>
          <w:spacing w:val="-1"/>
        </w:rPr>
        <w:t>器、运算器等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的定义、功能、应用及功能扩展。</w:t>
      </w:r>
    </w:p>
    <w:p>
      <w:pPr>
        <w:pStyle w:val="BodyText"/>
        <w:ind w:left="2" w:right="96" w:firstLine="567"/>
        <w:spacing w:before="132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）常用时序逻辑电路的定义、功能特点、应用及其功能扩展。如计</w:t>
      </w:r>
      <w:r>
        <w:rPr>
          <w:spacing w:val="14"/>
        </w:rPr>
        <w:t xml:space="preserve"> </w:t>
      </w:r>
      <w:r>
        <w:rPr>
          <w:spacing w:val="-2"/>
        </w:rPr>
        <w:t>数器、移位寄存器。</w:t>
      </w:r>
    </w:p>
    <w:p>
      <w:pPr>
        <w:pStyle w:val="BodyText"/>
        <w:ind w:left="2" w:right="99" w:firstLine="567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）组合逻辑电路的分析与设计，时序（重点是同步）逻辑电路的分</w:t>
      </w:r>
      <w:r>
        <w:rPr>
          <w:spacing w:val="12"/>
        </w:rPr>
        <w:t xml:space="preserve"> </w:t>
      </w:r>
      <w:r>
        <w:rPr>
          <w:spacing w:val="-1"/>
        </w:rPr>
        <w:t>析与设计，可编程逻辑器件的应用。</w:t>
      </w:r>
    </w:p>
    <w:p>
      <w:pPr>
        <w:pStyle w:val="BodyText"/>
        <w:ind w:left="569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）存储器的分类、特点、外部特性、应用及存储容量扩展。</w:t>
      </w:r>
    </w:p>
    <w:p>
      <w:pPr>
        <w:pStyle w:val="BodyText"/>
        <w:ind w:left="2" w:right="99" w:firstLine="567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）单稳态触发器、多谐振荡器、施密特触发器的工作原理、分析计</w:t>
      </w:r>
      <w:r>
        <w:rPr>
          <w:spacing w:val="12"/>
        </w:rPr>
        <w:t xml:space="preserve"> </w:t>
      </w:r>
      <w:r>
        <w:rPr>
          <w:spacing w:val="-3"/>
        </w:rPr>
        <w:t>算及应用。</w:t>
      </w:r>
    </w:p>
    <w:p>
      <w:pPr>
        <w:pStyle w:val="BodyText"/>
        <w:ind w:left="569"/>
        <w:spacing w:before="101" w:line="369" w:lineRule="exact"/>
        <w:rPr/>
      </w:pPr>
      <w:r>
        <w:rPr>
          <w:spacing w:val="-2"/>
          <w:position w:val="1"/>
        </w:rPr>
        <w:t>（</w:t>
      </w:r>
      <w:r>
        <w:rPr>
          <w:rFonts w:ascii="Times New Roman" w:hAnsi="Times New Roman" w:eastAsia="Times New Roman" w:cs="Times New Roman"/>
          <w:spacing w:val="-2"/>
          <w:position w:val="1"/>
        </w:rPr>
        <w:t>9</w:t>
      </w:r>
      <w:r>
        <w:rPr>
          <w:spacing w:val="-2"/>
          <w:position w:val="1"/>
        </w:rPr>
        <w:t>）</w:t>
      </w:r>
      <w:r>
        <w:rPr>
          <w:rFonts w:ascii="Times New Roman" w:hAnsi="Times New Roman" w:eastAsia="Times New Roman" w:cs="Times New Roman"/>
          <w:spacing w:val="-2"/>
          <w:position w:val="1"/>
        </w:rPr>
        <w:t>A/D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pacing w:val="-2"/>
          <w:position w:val="1"/>
        </w:rPr>
        <w:t>D/A </w:t>
      </w:r>
      <w:r>
        <w:rPr>
          <w:spacing w:val="-2"/>
          <w:position w:val="1"/>
        </w:rPr>
        <w:t>转换器分类基本原理、参数及性能指标、应用选择。</w:t>
      </w:r>
    </w:p>
    <w:p>
      <w:pPr>
        <w:ind w:left="567"/>
        <w:spacing w:before="15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77" w:right="1308" w:hanging="15"/>
        <w:spacing w:before="145" w:line="304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561"/>
        <w:spacing w:before="36" w:line="221" w:lineRule="auto"/>
        <w:rPr/>
      </w:pPr>
      <w:r>
        <w:rPr>
          <w:spacing w:val="-1"/>
        </w:rPr>
        <w:t>计算题、分析题、设计题。</w:t>
      </w:r>
    </w:p>
    <w:p>
      <w:pPr>
        <w:ind w:left="569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2" w:right="99" w:firstLine="581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《电子技术基础—模拟部分（第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 </w:t>
      </w:r>
      <w:r>
        <w:rPr>
          <w:spacing w:val="2"/>
        </w:rPr>
        <w:t>版）》，康华光、张林主编，高</w:t>
      </w:r>
      <w:r>
        <w:rPr/>
        <w:t xml:space="preserve"> </w:t>
      </w:r>
      <w:r>
        <w:rPr>
          <w:spacing w:val="-3"/>
        </w:rPr>
        <w:t>等教育出版社，</w:t>
      </w:r>
      <w:r>
        <w:rPr>
          <w:rFonts w:ascii="Times New Roman" w:hAnsi="Times New Roman" w:eastAsia="Times New Roman" w:cs="Times New Roman"/>
          <w:spacing w:val="-3"/>
        </w:rPr>
        <w:t>2021 </w:t>
      </w:r>
      <w:r>
        <w:rPr>
          <w:spacing w:val="-3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2" w:right="99" w:firstLine="554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《电子技术基础—数字部分（第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 </w:t>
      </w:r>
      <w:r>
        <w:rPr>
          <w:spacing w:val="3"/>
        </w:rPr>
        <w:t>版）》，康华光、张林主编，高</w:t>
      </w:r>
      <w:r>
        <w:rPr/>
        <w:t xml:space="preserve"> </w:t>
      </w:r>
      <w:r>
        <w:rPr>
          <w:spacing w:val="-3"/>
        </w:rPr>
        <w:t>等教育出版社，</w:t>
      </w:r>
      <w:r>
        <w:rPr>
          <w:rFonts w:ascii="Times New Roman" w:hAnsi="Times New Roman" w:eastAsia="Times New Roman" w:cs="Times New Roman"/>
          <w:spacing w:val="-3"/>
        </w:rPr>
        <w:t>2021 </w:t>
      </w:r>
      <w:r>
        <w:rPr>
          <w:spacing w:val="-3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月版。</w:t>
      </w:r>
    </w:p>
    <w:sectPr>
      <w:footerReference w:type="default" r:id="rId2"/>
      <w:pgSz w:w="12070" w:h="16950"/>
      <w:pgMar w:top="1440" w:right="1374" w:bottom="1744" w:left="1597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2024-10-11T22:44:08</vt:filetime>
  </property>
</Properties>
</file>