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0D089">
      <w:pPr>
        <w:jc w:val="center"/>
        <w:rPr>
          <w:rFonts w:hint="eastAsia" w:ascii="黑体" w:hAnsi="黑体" w:eastAsia="黑体" w:cs="Times New Roman"/>
          <w:b/>
          <w:bCs w:val="0"/>
          <w:sz w:val="30"/>
          <w:szCs w:val="30"/>
        </w:rPr>
      </w:pPr>
      <w:bookmarkStart w:id="0" w:name="_GoBack"/>
      <w:bookmarkEnd w:id="0"/>
      <w:r>
        <w:rPr>
          <w:rFonts w:hint="eastAsia" w:ascii="黑体" w:hAnsi="黑体" w:eastAsia="黑体" w:cs="Times New Roman"/>
          <w:b/>
          <w:bCs w:val="0"/>
          <w:sz w:val="30"/>
          <w:szCs w:val="30"/>
        </w:rPr>
        <w:t>山东建筑大学</w:t>
      </w:r>
    </w:p>
    <w:p w14:paraId="21A82163">
      <w:pPr>
        <w:jc w:val="center"/>
        <w:rPr>
          <w:rFonts w:hint="eastAsia" w:ascii="黑体" w:hAnsi="黑体" w:eastAsia="黑体" w:cs="Times New Roman"/>
          <w:b/>
          <w:bCs w:val="0"/>
          <w:sz w:val="28"/>
          <w:szCs w:val="28"/>
        </w:rPr>
      </w:pPr>
      <w:r>
        <w:rPr>
          <w:rFonts w:hint="eastAsia" w:ascii="黑体" w:hAnsi="黑体" w:eastAsia="黑体" w:cs="Times New Roman"/>
          <w:b/>
          <w:bCs w:val="0"/>
          <w:sz w:val="28"/>
          <w:szCs w:val="28"/>
        </w:rPr>
        <w:t>202</w:t>
      </w:r>
      <w:r>
        <w:rPr>
          <w:rFonts w:hint="eastAsia" w:ascii="黑体" w:hAnsi="黑体" w:eastAsia="黑体" w:cs="Times New Roman"/>
          <w:b/>
          <w:bCs w:val="0"/>
          <w:sz w:val="28"/>
          <w:szCs w:val="28"/>
          <w:lang w:val="en-US" w:eastAsia="zh-CN"/>
        </w:rPr>
        <w:t>5年</w:t>
      </w:r>
      <w:r>
        <w:rPr>
          <w:rFonts w:hint="eastAsia" w:ascii="黑体" w:hAnsi="黑体" w:eastAsia="黑体" w:cs="Times New Roman"/>
          <w:b/>
          <w:bCs w:val="0"/>
          <w:sz w:val="28"/>
          <w:szCs w:val="28"/>
        </w:rPr>
        <w:t>研究生入学考试《风景园林规划设计（</w:t>
      </w:r>
      <w:r>
        <w:rPr>
          <w:rFonts w:hint="eastAsia" w:ascii="黑体" w:hAnsi="黑体" w:eastAsia="黑体" w:cs="Times New Roman"/>
          <w:b/>
          <w:bCs w:val="0"/>
          <w:sz w:val="28"/>
          <w:szCs w:val="28"/>
          <w:lang w:val="en-US" w:eastAsia="zh-CN"/>
        </w:rPr>
        <w:t>3</w:t>
      </w:r>
      <w:r>
        <w:rPr>
          <w:rFonts w:hint="eastAsia" w:ascii="黑体" w:hAnsi="黑体" w:eastAsia="黑体" w:cs="Times New Roman"/>
          <w:b/>
          <w:bCs w:val="0"/>
          <w:sz w:val="28"/>
          <w:szCs w:val="28"/>
        </w:rPr>
        <w:t>小时）》考试大纲</w:t>
      </w:r>
    </w:p>
    <w:p w14:paraId="22DC6598">
      <w:pPr>
        <w:tabs>
          <w:tab w:val="left" w:pos="0"/>
        </w:tabs>
        <w:spacing w:before="156" w:beforeLines="50" w:after="156" w:afterLines="50" w:line="360" w:lineRule="auto"/>
        <w:rPr>
          <w:rFonts w:hint="eastAsia" w:ascii="黑体" w:hAnsi="黑体" w:eastAsia="黑体" w:cs="黑体"/>
          <w:b/>
          <w:bCs/>
          <w:kern w:val="44"/>
          <w:sz w:val="24"/>
        </w:rPr>
      </w:pPr>
      <w:r>
        <w:rPr>
          <w:rFonts w:hint="eastAsia" w:ascii="黑体" w:hAnsi="黑体" w:eastAsia="黑体" w:cs="黑体"/>
          <w:b/>
          <w:bCs/>
          <w:kern w:val="44"/>
          <w:sz w:val="24"/>
        </w:rPr>
        <w:t>一、考试内容</w:t>
      </w:r>
    </w:p>
    <w:p w14:paraId="4EA0C104">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sz w:val="24"/>
          <w:lang w:val="en-US" w:eastAsia="zh-CN"/>
        </w:rPr>
        <w:t>1</w:t>
      </w:r>
      <w:r>
        <w:rPr>
          <w:rFonts w:hint="eastAsia" w:ascii="宋体" w:hAnsi="宋体" w:eastAsia="宋体"/>
          <w:sz w:val="24"/>
        </w:rPr>
        <w:t>、</w:t>
      </w:r>
      <w:r>
        <w:rPr>
          <w:rFonts w:hint="eastAsia" w:ascii="宋体" w:hAnsi="宋体" w:eastAsia="宋体" w:cs="Times New Roman"/>
          <w:sz w:val="24"/>
        </w:rPr>
        <w:t>设计定位准确，满足该项目所需的功能需求；</w:t>
      </w:r>
    </w:p>
    <w:p w14:paraId="5C60BEFA">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正确地处理好规划基地与周边环境的衔接及周边用地性质的关系；</w:t>
      </w:r>
    </w:p>
    <w:p w14:paraId="5229AFE1">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运用有关园林规划设计的理论与方法，利用园林景观的造景要素（地形地貌、水体水系、园林植物、道路广场、园林建筑等）科学合理地进行平面布局（功能分区）与空间布局；</w:t>
      </w:r>
    </w:p>
    <w:p w14:paraId="33DCEB21">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设计说明主题明确，思路清晰，并能较好地表现规划设计方案，制图规范，绘图基本功较为扎实；</w:t>
      </w:r>
    </w:p>
    <w:p w14:paraId="3879CA1E">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5</w:t>
      </w:r>
      <w:r>
        <w:rPr>
          <w:rFonts w:hint="eastAsia" w:ascii="宋体" w:hAnsi="宋体" w:eastAsia="宋体" w:cs="Times New Roman"/>
          <w:sz w:val="24"/>
          <w:lang w:eastAsia="zh-CN"/>
        </w:rPr>
        <w:t>、</w:t>
      </w:r>
      <w:r>
        <w:rPr>
          <w:rFonts w:hint="eastAsia" w:ascii="宋体" w:hAnsi="宋体" w:eastAsia="宋体" w:cs="Times New Roman"/>
          <w:sz w:val="24"/>
        </w:rPr>
        <w:t>景(建筑或小品等）的造型风格、尺度、比例应与整体园林风格协调，体现出应表现的主题；</w:t>
      </w:r>
    </w:p>
    <w:p w14:paraId="7E9646D7">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提出规划技术经济指标。</w:t>
      </w:r>
    </w:p>
    <w:p w14:paraId="6387EDCC">
      <w:pPr>
        <w:tabs>
          <w:tab w:val="left" w:pos="0"/>
        </w:tabs>
        <w:spacing w:before="156" w:beforeLines="50" w:after="156" w:afterLines="50" w:line="360" w:lineRule="auto"/>
        <w:rPr>
          <w:rFonts w:hint="eastAsia" w:ascii="黑体" w:hAnsi="黑体" w:eastAsia="黑体" w:cs="黑体"/>
          <w:b/>
          <w:bCs/>
          <w:kern w:val="44"/>
          <w:sz w:val="24"/>
        </w:rPr>
      </w:pPr>
      <w:r>
        <w:rPr>
          <w:rFonts w:hint="eastAsia" w:ascii="黑体" w:hAnsi="黑体" w:eastAsia="黑体" w:cs="黑体"/>
          <w:b/>
          <w:bCs/>
          <w:kern w:val="44"/>
          <w:sz w:val="24"/>
        </w:rPr>
        <w:t>二、参考书目</w:t>
      </w:r>
    </w:p>
    <w:p w14:paraId="660379D4">
      <w:pPr>
        <w:spacing w:line="360" w:lineRule="auto"/>
        <w:ind w:firstLine="480" w:firstLineChars="200"/>
        <w:rPr>
          <w:rFonts w:ascii="宋体" w:hAnsi="宋体" w:eastAsia="宋体"/>
          <w:sz w:val="24"/>
        </w:rPr>
      </w:pPr>
      <w:r>
        <w:rPr>
          <w:rFonts w:hint="eastAsia" w:ascii="宋体" w:hAnsi="宋体" w:eastAsia="宋体"/>
          <w:sz w:val="24"/>
        </w:rPr>
        <w:t>本专业大学相关教材、参考书刊及国家相关规范。</w:t>
      </w:r>
    </w:p>
    <w:p w14:paraId="21215037">
      <w:pPr>
        <w:tabs>
          <w:tab w:val="left" w:pos="0"/>
        </w:tabs>
        <w:spacing w:before="156" w:beforeLines="50" w:after="156" w:afterLines="50" w:line="360" w:lineRule="auto"/>
        <w:rPr>
          <w:rFonts w:hint="eastAsia" w:ascii="黑体" w:hAnsi="黑体" w:eastAsia="黑体" w:cs="黑体"/>
          <w:b/>
          <w:bCs/>
          <w:kern w:val="44"/>
          <w:sz w:val="24"/>
        </w:rPr>
      </w:pPr>
      <w:r>
        <w:rPr>
          <w:rFonts w:hint="eastAsia" w:ascii="黑体" w:hAnsi="黑体" w:eastAsia="黑体" w:cs="黑体"/>
          <w:b/>
          <w:bCs/>
          <w:kern w:val="44"/>
          <w:sz w:val="24"/>
        </w:rPr>
        <w:t>三、考试注意事项</w:t>
      </w:r>
    </w:p>
    <w:p w14:paraId="0A280344">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、适用专业：风景园林硕士（全日制、非全日制）</w:t>
      </w:r>
    </w:p>
    <w:p w14:paraId="3F70274B">
      <w:pPr>
        <w:spacing w:line="360" w:lineRule="auto"/>
        <w:ind w:firstLine="480" w:firstLineChars="200"/>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、命题原则</w:t>
      </w:r>
      <w:r>
        <w:rPr>
          <w:rFonts w:hint="eastAsia" w:ascii="宋体" w:hAnsi="宋体" w:eastAsia="宋体"/>
          <w:sz w:val="24"/>
          <w:lang w:eastAsia="zh-CN"/>
        </w:rPr>
        <w:t>：</w:t>
      </w:r>
      <w:r>
        <w:rPr>
          <w:rFonts w:hint="eastAsia" w:ascii="宋体" w:hAnsi="宋体" w:eastAsia="宋体"/>
          <w:sz w:val="24"/>
        </w:rPr>
        <w:t>以风景园林专业本科毕业生所能达到的风景园林规划设计能力为标准，选取规模适宜、功能相对综合、空间较丰富的室外场地为设计题目。</w:t>
      </w:r>
    </w:p>
    <w:p w14:paraId="7CBCC05B">
      <w:pPr>
        <w:spacing w:line="360" w:lineRule="auto"/>
        <w:ind w:firstLine="480" w:firstLineChars="200"/>
        <w:rPr>
          <w:rFonts w:ascii="宋体" w:hAnsi="宋体" w:eastAsia="宋体"/>
          <w:sz w:val="24"/>
        </w:rPr>
      </w:pPr>
      <w:r>
        <w:rPr>
          <w:rFonts w:hint="eastAsia" w:ascii="宋体" w:hAnsi="宋体" w:eastAsia="宋体"/>
          <w:sz w:val="24"/>
        </w:rPr>
        <w:t>3、命题形式：</w:t>
      </w:r>
      <w:r>
        <w:rPr>
          <w:rFonts w:hint="eastAsia" w:ascii="宋体" w:hAnsi="宋体"/>
          <w:sz w:val="24"/>
          <w:lang w:val="en-US" w:eastAsia="zh-CN"/>
        </w:rPr>
        <w:t>3</w:t>
      </w:r>
      <w:r>
        <w:rPr>
          <w:rFonts w:hint="eastAsia" w:ascii="宋体" w:hAnsi="宋体" w:eastAsia="宋体"/>
          <w:sz w:val="24"/>
        </w:rPr>
        <w:t>小时快题设计，总分150分。</w:t>
      </w:r>
    </w:p>
    <w:p w14:paraId="288E289B">
      <w:pPr>
        <w:spacing w:line="360" w:lineRule="auto"/>
        <w:ind w:firstLine="480" w:firstLineChars="200"/>
        <w:rPr>
          <w:rFonts w:ascii="宋体" w:hAnsi="宋体" w:eastAsia="宋体"/>
          <w:sz w:val="24"/>
        </w:rPr>
      </w:pPr>
      <w:r>
        <w:rPr>
          <w:rFonts w:hint="eastAsia" w:ascii="宋体" w:hAnsi="宋体" w:eastAsia="宋体"/>
          <w:sz w:val="24"/>
        </w:rPr>
        <w:t>4、作品绘制在A2白色绘图纸上，表达方式与张数不限，统一构图。每张图纸左上角用黑签字笔沿边注明本人姓名、考生编号，每张图纸的右下角标注“共×页，第×页”，不得标注其它信息。</w:t>
      </w:r>
    </w:p>
    <w:p w14:paraId="0ABACBDA">
      <w:pPr>
        <w:spacing w:line="360" w:lineRule="auto"/>
        <w:ind w:firstLine="480" w:firstLineChars="200"/>
        <w:rPr>
          <w:sz w:val="28"/>
          <w:szCs w:val="28"/>
        </w:rPr>
      </w:pPr>
      <w:r>
        <w:rPr>
          <w:rFonts w:hint="eastAsia" w:ascii="宋体" w:hAnsi="宋体" w:eastAsia="宋体"/>
          <w:sz w:val="24"/>
          <w:lang w:val="en-US" w:eastAsia="zh-CN"/>
        </w:rPr>
        <w:t>5、</w:t>
      </w:r>
      <w:r>
        <w:rPr>
          <w:rFonts w:hint="eastAsia" w:ascii="宋体" w:hAnsi="宋体" w:eastAsia="宋体"/>
          <w:sz w:val="24"/>
        </w:rPr>
        <w:t>考生考试答题自备材料要求：自备绘图用具、尺和1号图板，自备空白草图和正图纸。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5A113E65"/>
    <w:rsid w:val="001F7E5A"/>
    <w:rsid w:val="00307646"/>
    <w:rsid w:val="00477EC9"/>
    <w:rsid w:val="00597348"/>
    <w:rsid w:val="00977B14"/>
    <w:rsid w:val="00C20E72"/>
    <w:rsid w:val="09F10CF8"/>
    <w:rsid w:val="0EAB2C74"/>
    <w:rsid w:val="1C65193B"/>
    <w:rsid w:val="1CE1066F"/>
    <w:rsid w:val="361A062B"/>
    <w:rsid w:val="38F30C68"/>
    <w:rsid w:val="3AFA0500"/>
    <w:rsid w:val="4026444D"/>
    <w:rsid w:val="43305CDA"/>
    <w:rsid w:val="59A37C42"/>
    <w:rsid w:val="5A113E65"/>
    <w:rsid w:val="6CF70A99"/>
    <w:rsid w:val="6DF30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kern w:val="2"/>
      <w:sz w:val="18"/>
      <w:szCs w:val="18"/>
    </w:rPr>
  </w:style>
  <w:style w:type="character" w:customStyle="1" w:styleId="7">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551</Characters>
  <Lines>4</Lines>
  <Paragraphs>1</Paragraphs>
  <TotalTime>0</TotalTime>
  <ScaleCrop>false</ScaleCrop>
  <LinksUpToDate>false</LinksUpToDate>
  <CharactersWithSpaces>551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2021-09-03T02:53:00Z</dcterms:created>
  <dc:creator>子辰</dc:creator>
  <cp:lastModifiedBy>vertesyuan</cp:lastModifiedBy>
  <dcterms:modified xsi:type="dcterms:W3CDTF">2024-10-12T10:36:40Z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19C82F298471426C9FEFCEEEDCFF8253_13</vt:lpwstr>
  </property>
</Properties>
</file>