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4" w:lineRule="auto"/>
        <w:rPr>
          <w:rFonts w:ascii="Arial"/>
          <w:sz w:val="21"/>
        </w:rPr>
      </w:pPr>
      <w:r/>
    </w:p>
    <w:p>
      <w:pPr>
        <w:ind w:left="3414"/>
        <w:spacing w:before="142" w:line="354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6"/>
          <w:position w:val="-1"/>
        </w:rPr>
        <w:t>336</w:t>
      </w:r>
      <w:r>
        <w:rPr>
          <w:rFonts w:ascii="Arial" w:hAnsi="Arial" w:eastAsia="Arial" w:cs="Arial"/>
          <w:sz w:val="33"/>
          <w:szCs w:val="33"/>
          <w:spacing w:val="8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16"/>
          <w:position w:val="-1"/>
        </w:rPr>
        <w:t>艺术基础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84"/>
        <w:spacing w:before="143" w:line="303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准确、系统地掌握工业设计的发展历程，各时期的主要流派、组织、</w:t>
      </w:r>
      <w:r>
        <w:rPr/>
        <w:t xml:space="preserve"> </w:t>
      </w:r>
      <w:r>
        <w:rPr>
          <w:spacing w:val="-1"/>
        </w:rPr>
        <w:t>代表人物及作品，理解不同时代设计史发展的历史动因。</w:t>
      </w:r>
    </w:p>
    <w:p>
      <w:pPr>
        <w:pStyle w:val="BodyText"/>
        <w:ind w:left="1" w:right="98" w:firstLine="556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关注设计学科及实践发展前沿趋势的相关</w:t>
      </w:r>
      <w:r>
        <w:rPr>
          <w:spacing w:val="3"/>
        </w:rPr>
        <w:t>问题，能够运用相关的设</w:t>
      </w:r>
      <w:r>
        <w:rPr/>
        <w:t xml:space="preserve"> </w:t>
      </w:r>
      <w:r>
        <w:rPr>
          <w:spacing w:val="-1"/>
        </w:rPr>
        <w:t>计理论和方法对其展开深入剖析。</w:t>
      </w:r>
    </w:p>
    <w:p>
      <w:pPr>
        <w:pStyle w:val="BodyText"/>
        <w:ind w:left="584" w:right="6028" w:hanging="17"/>
        <w:spacing w:before="39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工业革命前的设计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）设计的萌芽阶段</w:t>
      </w:r>
    </w:p>
    <w:p>
      <w:pPr>
        <w:pStyle w:val="BodyText"/>
        <w:ind w:left="557" w:right="5049" w:firstLine="13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）中外手工艺时代的设计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1750</w:t>
      </w:r>
      <w:r>
        <w:rPr>
          <w:spacing w:val="-3"/>
        </w:rPr>
        <w:t>—</w:t>
      </w:r>
      <w:r>
        <w:rPr>
          <w:rFonts w:ascii="Times New Roman" w:hAnsi="Times New Roman" w:eastAsia="Times New Roman" w:cs="Times New Roman"/>
          <w:spacing w:val="-3"/>
        </w:rPr>
        <w:t>1914 </w:t>
      </w:r>
      <w:r>
        <w:rPr>
          <w:spacing w:val="-3"/>
        </w:rPr>
        <w:t>年的设计</w:t>
      </w:r>
    </w:p>
    <w:p>
      <w:pPr>
        <w:pStyle w:val="BodyText"/>
        <w:ind w:left="563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 </w:t>
      </w:r>
      <w:r>
        <w:rPr>
          <w:spacing w:val="-4"/>
        </w:rPr>
        <w:t>世纪的设计与商业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）市场的扩展及其对设计的需要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）劳动分工与设计专业的出现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18 </w:t>
      </w:r>
      <w:r>
        <w:rPr>
          <w:spacing w:val="-2"/>
        </w:rPr>
        <w:t>世纪的设计风格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）切普代尔与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 </w:t>
      </w:r>
      <w:r>
        <w:rPr>
          <w:spacing w:val="-3"/>
        </w:rPr>
        <w:t>世纪的家具业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）魏德伍德与陶瓷工业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）保尔顿及其小五金工业</w:t>
      </w:r>
    </w:p>
    <w:p>
      <w:pPr>
        <w:pStyle w:val="BodyText"/>
        <w:ind w:left="556" w:right="5886" w:firstLine="14"/>
        <w:spacing w:before="145" w:line="26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）新条件下的设计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机械化与设计</w:t>
      </w:r>
    </w:p>
    <w:p>
      <w:pPr>
        <w:pStyle w:val="BodyText"/>
        <w:ind w:left="570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）英国的纺织工业</w:t>
      </w:r>
    </w:p>
    <w:p>
      <w:pPr>
        <w:pStyle w:val="BodyText"/>
        <w:ind w:left="570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）技术与设计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）美国的制造体系与设计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）美国早期的汽车设计</w:t>
      </w:r>
    </w:p>
    <w:p>
      <w:pPr>
        <w:pStyle w:val="BodyText"/>
        <w:ind w:left="565" w:right="5886" w:firstLine="5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）标准化与合理化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设计改革</w:t>
      </w:r>
    </w:p>
    <w:p>
      <w:pPr>
        <w:spacing w:line="269" w:lineRule="auto"/>
        <w:sectPr>
          <w:footerReference w:type="default" r:id="rId1"/>
          <w:pgSz w:w="12070" w:h="16950"/>
          <w:pgMar w:top="1440" w:right="1373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19 </w:t>
      </w:r>
      <w:r>
        <w:rPr>
          <w:spacing w:val="-2"/>
        </w:rPr>
        <w:t>世纪上半叶设计理论的发展</w:t>
      </w:r>
    </w:p>
    <w:p>
      <w:pPr>
        <w:pStyle w:val="BodyText"/>
        <w:ind w:left="356"/>
        <w:spacing w:before="14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）“水晶宫</w:t>
      </w:r>
      <w:r>
        <w:rPr>
          <w:spacing w:val="-100"/>
        </w:rPr>
        <w:t xml:space="preserve"> </w:t>
      </w:r>
      <w:r>
        <w:rPr>
          <w:spacing w:val="-4"/>
        </w:rPr>
        <w:t>”国际工业博览会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）拉斯金、莫里斯与工艺美术运动</w:t>
      </w:r>
    </w:p>
    <w:p>
      <w:pPr>
        <w:pStyle w:val="BodyText"/>
        <w:ind w:left="356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19 </w:t>
      </w:r>
      <w:r>
        <w:rPr>
          <w:spacing w:val="-1"/>
        </w:rPr>
        <w:t>世纪的工业设计师——德莱赛</w:t>
      </w:r>
    </w:p>
    <w:p>
      <w:pPr>
        <w:pStyle w:val="BodyText"/>
        <w:ind w:left="356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）芝加哥学派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）新艺术运动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）麦金托什与维也纳分离派</w:t>
      </w:r>
    </w:p>
    <w:p>
      <w:pPr>
        <w:pStyle w:val="BodyText"/>
        <w:ind w:left="349" w:right="5449" w:firstLine="6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）德意志制造联盟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工业、技术与设计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）美国的工业与设计</w:t>
      </w:r>
    </w:p>
    <w:p>
      <w:pPr>
        <w:pStyle w:val="BodyText"/>
        <w:ind w:left="356"/>
        <w:spacing w:before="144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）欧洲的工业与设计</w:t>
      </w:r>
    </w:p>
    <w:p>
      <w:pPr>
        <w:pStyle w:val="BodyText"/>
        <w:ind w:left="356"/>
        <w:spacing w:before="143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）技术与设计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）斯堪的纳维亚国家的手工艺与设计</w:t>
      </w:r>
    </w:p>
    <w:p>
      <w:pPr>
        <w:pStyle w:val="BodyText"/>
        <w:ind w:left="347" w:right="5171" w:firstLine="8"/>
        <w:spacing w:before="143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）新材料与现代设计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艺术变革与现代设计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）美术革命</w:t>
      </w:r>
    </w:p>
    <w:p>
      <w:pPr>
        <w:pStyle w:val="BodyText"/>
        <w:ind w:left="356"/>
        <w:spacing w:before="14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）风格派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）构成派与俄罗斯先锋艺术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）走向现代主义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）柯布西埃与机器美学</w:t>
      </w:r>
    </w:p>
    <w:p>
      <w:pPr>
        <w:pStyle w:val="BodyText"/>
        <w:ind w:left="356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）格罗披乌斯与包豪斯</w:t>
      </w:r>
    </w:p>
    <w:p>
      <w:pPr>
        <w:pStyle w:val="BodyText"/>
        <w:ind w:left="354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8.20 </w:t>
      </w:r>
      <w:r>
        <w:rPr>
          <w:spacing w:val="-3"/>
        </w:rPr>
        <w:t>世纪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年代的流行风格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）艺术装饰风格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）流线型风格</w:t>
      </w:r>
    </w:p>
    <w:p>
      <w:pPr>
        <w:pStyle w:val="BodyText"/>
        <w:ind w:left="348" w:right="5101" w:firstLine="7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）斯堪的纳维亚风格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职业工业设计师的出现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）美国工业设计的职业化</w:t>
      </w:r>
    </w:p>
    <w:p>
      <w:pPr>
        <w:spacing w:line="221" w:lineRule="auto"/>
        <w:sectPr>
          <w:footerReference w:type="default" r:id="rId2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69" w:right="5171" w:hanging="13"/>
        <w:spacing w:before="91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）欧洲的工业设计师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战后重建与设计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）斯堪的纳维亚设计</w:t>
      </w:r>
    </w:p>
    <w:p>
      <w:pPr>
        <w:pStyle w:val="BodyText"/>
        <w:ind w:left="356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）现代主义的发展</w:t>
      </w:r>
    </w:p>
    <w:p>
      <w:pPr>
        <w:pStyle w:val="BodyText"/>
        <w:ind w:left="356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）美国的商业性设计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）意大利的风格与个性</w:t>
      </w:r>
    </w:p>
    <w:p>
      <w:pPr>
        <w:pStyle w:val="BodyText"/>
        <w:ind w:left="356" w:right="4331"/>
        <w:spacing w:before="146" w:line="26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）前联邦德国的技术与分析</w:t>
      </w:r>
      <w:r>
        <w:rPr>
          <w:spacing w:val="8"/>
        </w:rPr>
        <w:t xml:space="preserve"> 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）</w:t>
      </w:r>
      <w:r>
        <w:rPr>
          <w:spacing w:val="-76"/>
        </w:rPr>
        <w:t xml:space="preserve"> </w:t>
      </w:r>
      <w:r>
        <w:rPr>
          <w:spacing w:val="-6"/>
        </w:rPr>
        <w:t>日本的传统文化与高技术</w:t>
      </w:r>
    </w:p>
    <w:p>
      <w:pPr>
        <w:pStyle w:val="BodyText"/>
        <w:ind w:left="356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）中国台湾地区及韩国的设计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）公司识别计划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）人机工程学的发展</w:t>
      </w:r>
    </w:p>
    <w:p>
      <w:pPr>
        <w:pStyle w:val="BodyText"/>
        <w:ind w:left="369" w:right="4470" w:hanging="13"/>
        <w:spacing w:before="146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）新技术及新材料与设计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11.</w:t>
      </w:r>
      <w:r>
        <w:rPr>
          <w:spacing w:val="-5"/>
        </w:rPr>
        <w:t>走向多元化</w:t>
      </w:r>
    </w:p>
    <w:p>
      <w:pPr>
        <w:pStyle w:val="BodyText"/>
        <w:ind w:left="356"/>
        <w:spacing w:before="14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）理性主义与“无名性</w:t>
      </w:r>
      <w:r>
        <w:rPr>
          <w:spacing w:val="-100"/>
        </w:rPr>
        <w:t xml:space="preserve"> </w:t>
      </w:r>
      <w:r>
        <w:rPr>
          <w:spacing w:val="-4"/>
        </w:rPr>
        <w:t>”设计</w:t>
      </w:r>
    </w:p>
    <w:p>
      <w:pPr>
        <w:pStyle w:val="BodyText"/>
        <w:ind w:left="356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）新现代主义与高技术风格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）波普风格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）后现代主义</w:t>
      </w:r>
    </w:p>
    <w:p>
      <w:pPr>
        <w:pStyle w:val="BodyText"/>
        <w:ind w:left="356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）解构主义</w:t>
      </w:r>
    </w:p>
    <w:p>
      <w:pPr>
        <w:pStyle w:val="BodyText"/>
        <w:ind w:left="369" w:right="4609" w:hanging="13"/>
        <w:spacing w:before="143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）绿色设计与可持续设计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12.</w:t>
      </w:r>
      <w:r>
        <w:rPr>
          <w:spacing w:val="-4"/>
        </w:rPr>
        <w:t>信息时代的设计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）互联网技术的发展与设计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）美国信息时代的设计</w:t>
      </w:r>
    </w:p>
    <w:p>
      <w:pPr>
        <w:pStyle w:val="BodyText"/>
        <w:ind w:left="356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）欧洲及日本信息时代的设计</w:t>
      </w:r>
    </w:p>
    <w:p>
      <w:pPr>
        <w:pStyle w:val="BodyText"/>
        <w:ind w:left="370"/>
        <w:spacing w:before="147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13.21 </w:t>
      </w:r>
      <w:r>
        <w:rPr>
          <w:spacing w:val="-3"/>
        </w:rPr>
        <w:t>世纪设计发展</w:t>
      </w:r>
    </w:p>
    <w:p>
      <w:pPr>
        <w:pStyle w:val="BodyText"/>
        <w:ind w:left="356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）服务设计与商业模式设计</w:t>
      </w:r>
    </w:p>
    <w:p>
      <w:pPr>
        <w:pStyle w:val="BodyText"/>
        <w:ind w:left="356"/>
        <w:spacing w:before="146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）企业设计生态</w:t>
      </w:r>
    </w:p>
    <w:p>
      <w:pPr>
        <w:pStyle w:val="BodyText"/>
        <w:ind w:left="356"/>
        <w:spacing w:before="14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）设计的全球化与本地化</w:t>
      </w:r>
    </w:p>
    <w:p>
      <w:pPr>
        <w:spacing w:line="220" w:lineRule="auto"/>
        <w:sectPr>
          <w:footerReference w:type="default" r:id="rId3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47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）双碳理念与设计</w:t>
      </w:r>
    </w:p>
    <w:p>
      <w:pPr>
        <w:pStyle w:val="BodyText"/>
        <w:ind w:left="547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）设计学作为交叉学科的发展趋势</w:t>
      </w:r>
    </w:p>
    <w:p>
      <w:pPr>
        <w:pStyle w:val="BodyText"/>
        <w:ind w:left="547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）人工智能（</w:t>
      </w:r>
      <w:r>
        <w:rPr>
          <w:rFonts w:ascii="Times New Roman" w:hAnsi="Times New Roman" w:eastAsia="Times New Roman" w:cs="Times New Roman"/>
          <w:spacing w:val="-2"/>
        </w:rPr>
        <w:t>AI</w:t>
      </w:r>
      <w:r>
        <w:rPr>
          <w:spacing w:val="-2"/>
        </w:rPr>
        <w:t>）时代的设计</w:t>
      </w:r>
    </w:p>
    <w:p>
      <w:pPr>
        <w:ind w:left="545"/>
        <w:spacing w:before="14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40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34" w:right="7327" w:firstLine="21"/>
        <w:spacing w:before="147" w:line="307" w:lineRule="auto"/>
        <w:jc w:val="both"/>
        <w:rPr/>
      </w:pPr>
      <w:r>
        <w:rPr>
          <w:rFonts w:ascii="SimHei" w:hAnsi="SimHei" w:eastAsia="SimHei" w:cs="SimHei"/>
          <w:spacing w:val="-7"/>
        </w:rPr>
        <w:t>四、题型</w:t>
      </w:r>
      <w:r>
        <w:rPr>
          <w:rFonts w:ascii="SimHei" w:hAnsi="SimHei" w:eastAsia="SimHei" w:cs="SimHei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简答题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填空题</w:t>
      </w:r>
    </w:p>
    <w:p>
      <w:pPr>
        <w:pStyle w:val="BodyText"/>
        <w:ind w:left="533" w:right="6837" w:firstLine="7"/>
        <w:spacing w:before="41" w:line="304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名词解释题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绘图题</w:t>
      </w:r>
    </w:p>
    <w:p>
      <w:pPr>
        <w:pStyle w:val="BodyText"/>
        <w:ind w:left="542"/>
        <w:spacing w:before="39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论述题</w:t>
      </w:r>
    </w:p>
    <w:p>
      <w:pPr>
        <w:ind w:left="547"/>
        <w:spacing w:before="142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41"/>
        <w:spacing w:before="142" w:line="303" w:lineRule="auto"/>
        <w:rPr/>
      </w:pPr>
      <w:r>
        <w:rPr>
          <w:spacing w:val="-1"/>
        </w:rPr>
        <w:t>《工业设计史》（第五版</w:t>
      </w:r>
      <w:r>
        <w:rPr>
          <w:spacing w:val="3"/>
        </w:rPr>
        <w:t>），</w:t>
      </w:r>
      <w:r>
        <w:rPr>
          <w:spacing w:val="-1"/>
        </w:rPr>
        <w:t>何人可主编，高等</w:t>
      </w:r>
      <w:r>
        <w:rPr>
          <w:spacing w:val="-2"/>
        </w:rPr>
        <w:t>教育出版社，</w:t>
      </w:r>
      <w:r>
        <w:rPr>
          <w:rFonts w:ascii="Times New Roman" w:hAnsi="Times New Roman" w:eastAsia="Times New Roman" w:cs="Times New Roman"/>
          <w:spacing w:val="-2"/>
        </w:rPr>
        <w:t>2019 </w:t>
      </w:r>
      <w:r>
        <w:rPr>
          <w:spacing w:val="-2"/>
        </w:rPr>
        <w:t>年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3"/>
        </w:rPr>
        <w:t>月版。</w:t>
      </w:r>
    </w:p>
    <w:sectPr>
      <w:footerReference w:type="default" r:id="rId4"/>
      <w:pgSz w:w="12070" w:h="16950"/>
      <w:pgMar w:top="1440" w:right="1473" w:bottom="1744" w:left="1619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2024-09-25T10:07:32Z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2024-10-11T22:43:57</vt:filetime>
  </property>
</Properties>
</file>