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55D97">
      <w:pPr>
        <w:ind w:left="-525" w:leftChars="-250"/>
        <w:jc w:val="center"/>
        <w:rPr>
          <w:rFonts w:hint="eastAsia" w:eastAsia="隶书"/>
          <w:b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eastAsia="隶书"/>
          <w:b/>
          <w:sz w:val="44"/>
          <w:szCs w:val="44"/>
        </w:rPr>
        <w:t xml:space="preserve"> </w:t>
      </w: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25年硕士研究生入学考试初试科目大纲</w:t>
      </w:r>
      <w:bookmarkEnd w:id="0"/>
    </w:p>
    <w:p w14:paraId="4537F151">
      <w:pPr>
        <w:ind w:left="-525" w:leftChars="-250"/>
        <w:jc w:val="center"/>
        <w:rPr>
          <w:rFonts w:hint="eastAsia" w:eastAsia="隶书"/>
          <w:b/>
          <w:sz w:val="18"/>
          <w:szCs w:val="18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992"/>
        <w:gridCol w:w="2268"/>
        <w:gridCol w:w="2985"/>
      </w:tblGrid>
      <w:tr w14:paraId="1A77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9C35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324E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7EF8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F914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14AC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4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CA7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机械与智能制造学院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91645">
            <w:pPr>
              <w:wordWrap w:val="0"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080200</w:t>
            </w:r>
          </w:p>
          <w:p w14:paraId="6FBE1EEC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085500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8CE6C">
            <w:pPr>
              <w:wordWrap w:val="0"/>
              <w:spacing w:line="288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</w:t>
            </w:r>
          </w:p>
          <w:p w14:paraId="2C423BDF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机械（专业硕士）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8F0A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812</w:t>
            </w:r>
            <w:r>
              <w:rPr>
                <w:rFonts w:hint="eastAsia" w:ascii="宋体" w:hAnsi="宋体"/>
                <w:sz w:val="24"/>
                <w:szCs w:val="24"/>
              </w:rPr>
              <w:t>机械原理</w:t>
            </w:r>
          </w:p>
        </w:tc>
      </w:tr>
      <w:tr w14:paraId="398E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058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30D1D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317CEC89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1E8D282A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DFE88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平面机构的结构分析</w:t>
            </w:r>
          </w:p>
          <w:p w14:paraId="7CA153A0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1、运动副的分类和特性；</w:t>
            </w:r>
          </w:p>
          <w:p w14:paraId="2AB57125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2、平面机构自由度的计算及注意事项，机构具有确定运动的条件；</w:t>
            </w:r>
          </w:p>
          <w:p w14:paraId="20DB723C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3、平面机构的组成原理和结构分析，高副低代，并确定杆组和机构的级别。</w:t>
            </w:r>
          </w:p>
          <w:p w14:paraId="2CD499D2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（二）平面机构的运动分析</w:t>
            </w:r>
          </w:p>
          <w:p w14:paraId="57B63237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1、速度瞬心的特征，速度瞬心的求法、运用速度瞬心进行机构的速度分析；</w:t>
            </w:r>
          </w:p>
          <w:p w14:paraId="08B3202E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2、用相对运动图解法求机构的速度和加速度，速度影像和加速度影像的应用。</w:t>
            </w:r>
          </w:p>
          <w:p w14:paraId="2779A4AC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（三）平面连杆机构及其设计</w:t>
            </w:r>
          </w:p>
          <w:p w14:paraId="7E5BB0ED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1、平面四杆机构的基本型式及其演化；</w:t>
            </w:r>
          </w:p>
          <w:p w14:paraId="15AD613C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2、平面四杆机构的主要工作特性，机构的极位夹角、压力角、传动角的意义，并确定机构最小传动角的位置；</w:t>
            </w:r>
          </w:p>
          <w:p w14:paraId="0E194E0E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3、用图解法进行简单的平面四杆机构的设计。</w:t>
            </w:r>
          </w:p>
          <w:p w14:paraId="5FA71672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（四）凸轮机构及其设计</w:t>
            </w:r>
          </w:p>
          <w:p w14:paraId="62A7FF62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1、凸轮机构的分类和应用；</w:t>
            </w:r>
          </w:p>
          <w:p w14:paraId="683724F1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2、常用从动件的运动规律和特性，基圆、推程运动角、回程运动角、远休止角、近休止角、行程的定义；</w:t>
            </w:r>
          </w:p>
          <w:p w14:paraId="6B5433BE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3、用图解法设计直动从动件凸轮机构；</w:t>
            </w:r>
          </w:p>
          <w:p w14:paraId="596F64C4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4、凸轮机构的压力角，凸轮机构基本尺寸的确定。</w:t>
            </w:r>
          </w:p>
          <w:p w14:paraId="65CBC589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（五）齿轮机构及其设计</w:t>
            </w:r>
          </w:p>
          <w:p w14:paraId="5D5A8885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1、齿廓啮合基本定律，节圆的特征，共轭齿廓的定义；</w:t>
            </w:r>
          </w:p>
          <w:p w14:paraId="49652ED7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2、渐开线的性质和渐开线齿廓的性质；</w:t>
            </w:r>
          </w:p>
          <w:p w14:paraId="277DEA26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3、标准直齿圆柱齿轮、斜齿圆柱齿轮的几何尺寸的计算；</w:t>
            </w:r>
          </w:p>
          <w:p w14:paraId="6E8A3199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4、标准直齿圆柱齿轮的啮合过程；标准直齿圆柱齿轮、斜齿圆柱齿轮的正确啮合条件、连续传动的条件、不发生根切的条件；直齿圆锥齿轮、蜗杆机构的正确啮合条件；斜齿圆柱齿轮的优越性；</w:t>
            </w:r>
          </w:p>
          <w:p w14:paraId="6E39E45D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5、变位齿轮的分类和作用，与标准齿轮比较的不同和相同之处。</w:t>
            </w:r>
          </w:p>
          <w:p w14:paraId="28DB8617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（六）轮系及其设计</w:t>
            </w:r>
          </w:p>
          <w:p w14:paraId="4563DB16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1、定轴轮系、周转轮系、复合轮系传动比的计算；</w:t>
            </w:r>
          </w:p>
          <w:p w14:paraId="69ED642B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2、行星轮系各轮齿数和行星轮数的选择。</w:t>
            </w:r>
          </w:p>
          <w:p w14:paraId="20787DD0">
            <w:pPr>
              <w:spacing w:line="360" w:lineRule="exact"/>
              <w:jc w:val="left"/>
              <w:rPr>
                <w:rFonts w:ascii="新宋体" w:hAnsi="新宋体" w:eastAsia="新宋体"/>
                <w:b/>
                <w:szCs w:val="21"/>
              </w:rPr>
            </w:pPr>
          </w:p>
        </w:tc>
      </w:tr>
      <w:tr w14:paraId="38D3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646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550C9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  <w:p w14:paraId="1C2271AA">
            <w:pPr>
              <w:spacing w:line="288" w:lineRule="auto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  <w:p w14:paraId="339B2DF9">
            <w:pPr>
              <w:spacing w:line="288" w:lineRule="auto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2DB9089B">
            <w:pPr>
              <w:wordWrap w:val="0"/>
              <w:spacing w:line="288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6263B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（七）其它常用机构</w:t>
            </w:r>
          </w:p>
          <w:p w14:paraId="33513AA7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各种常用机构的分类、特点和应用。</w:t>
            </w:r>
          </w:p>
          <w:p w14:paraId="5D798580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（八）平面机构的力分析</w:t>
            </w:r>
          </w:p>
          <w:p w14:paraId="21DB5B8B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机构力分析的方法；机构惯性力的确定；不考虑摩擦力的机构力分析。</w:t>
            </w:r>
          </w:p>
          <w:p w14:paraId="6D4C741D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（九）平面机构的平衡</w:t>
            </w:r>
          </w:p>
          <w:p w14:paraId="4CEFB0BD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平衡的目的和分类；刚性回转件的平衡。</w:t>
            </w:r>
          </w:p>
          <w:p w14:paraId="5F9B1751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（十）机器的机械效率</w:t>
            </w:r>
          </w:p>
          <w:p w14:paraId="41AA6D46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机器的机械效率和自锁。</w:t>
            </w:r>
          </w:p>
          <w:p w14:paraId="5306B62B">
            <w:pPr>
              <w:spacing w:line="360" w:lineRule="exact"/>
              <w:jc w:val="left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（十一）机器速度波动的调节</w:t>
            </w:r>
          </w:p>
          <w:p w14:paraId="59ACC88C">
            <w:pPr>
              <w:spacing w:line="36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速度波动的分类及其调节方法；飞轮的设计。</w:t>
            </w:r>
          </w:p>
          <w:p w14:paraId="65589802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5049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268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63792">
            <w:pPr>
              <w:pStyle w:val="9"/>
              <w:spacing w:line="600" w:lineRule="exact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3FDB3C4B"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F8CC9">
            <w:pPr>
              <w:pStyle w:val="9"/>
              <w:spacing w:line="276" w:lineRule="auto"/>
              <w:ind w:firstLine="0" w:firstLineChars="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19CD56BC">
            <w:pPr>
              <w:spacing w:line="32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不指定参考书目，考试范围以本考试大纲为准。</w:t>
            </w:r>
          </w:p>
          <w:p w14:paraId="797A73E0">
            <w:pPr>
              <w:pStyle w:val="9"/>
              <w:spacing w:line="276" w:lineRule="auto"/>
              <w:ind w:firstLine="0" w:firstLineChars="0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</w:tbl>
    <w:p w14:paraId="67729797">
      <w:pPr>
        <w:spacing w:line="400" w:lineRule="exac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B9338F"/>
    <w:rsid w:val="000030C7"/>
    <w:rsid w:val="0002672B"/>
    <w:rsid w:val="000707BC"/>
    <w:rsid w:val="0008095D"/>
    <w:rsid w:val="000913E5"/>
    <w:rsid w:val="00097DAC"/>
    <w:rsid w:val="000C3DB8"/>
    <w:rsid w:val="000D3BD8"/>
    <w:rsid w:val="000F0736"/>
    <w:rsid w:val="000F671B"/>
    <w:rsid w:val="00163225"/>
    <w:rsid w:val="00165F4A"/>
    <w:rsid w:val="001B38F7"/>
    <w:rsid w:val="002106E9"/>
    <w:rsid w:val="00230947"/>
    <w:rsid w:val="002662D0"/>
    <w:rsid w:val="002754E5"/>
    <w:rsid w:val="002E3288"/>
    <w:rsid w:val="003127B0"/>
    <w:rsid w:val="003247A1"/>
    <w:rsid w:val="003D44A9"/>
    <w:rsid w:val="00414B26"/>
    <w:rsid w:val="004B0DE6"/>
    <w:rsid w:val="004B585C"/>
    <w:rsid w:val="004D50E1"/>
    <w:rsid w:val="004E41AD"/>
    <w:rsid w:val="005046E2"/>
    <w:rsid w:val="00522FB5"/>
    <w:rsid w:val="005245C1"/>
    <w:rsid w:val="0052588C"/>
    <w:rsid w:val="0058290B"/>
    <w:rsid w:val="005918CE"/>
    <w:rsid w:val="005B129A"/>
    <w:rsid w:val="00667E54"/>
    <w:rsid w:val="00683844"/>
    <w:rsid w:val="0068569E"/>
    <w:rsid w:val="006E490F"/>
    <w:rsid w:val="00741DE9"/>
    <w:rsid w:val="00763853"/>
    <w:rsid w:val="007E5DB2"/>
    <w:rsid w:val="008528DC"/>
    <w:rsid w:val="008E731B"/>
    <w:rsid w:val="009104F9"/>
    <w:rsid w:val="009208FB"/>
    <w:rsid w:val="00926C6D"/>
    <w:rsid w:val="00940418"/>
    <w:rsid w:val="00950817"/>
    <w:rsid w:val="009E3407"/>
    <w:rsid w:val="00A25A96"/>
    <w:rsid w:val="00A35E26"/>
    <w:rsid w:val="00A46F99"/>
    <w:rsid w:val="00B8298E"/>
    <w:rsid w:val="00B9338F"/>
    <w:rsid w:val="00BD2CEE"/>
    <w:rsid w:val="00C3285D"/>
    <w:rsid w:val="00C7758D"/>
    <w:rsid w:val="00CE4EA7"/>
    <w:rsid w:val="00D1319B"/>
    <w:rsid w:val="00D22C13"/>
    <w:rsid w:val="00D5587E"/>
    <w:rsid w:val="00D64E2B"/>
    <w:rsid w:val="00D96EA9"/>
    <w:rsid w:val="00DF6BE3"/>
    <w:rsid w:val="00E2735B"/>
    <w:rsid w:val="00E835C4"/>
    <w:rsid w:val="00EC3D93"/>
    <w:rsid w:val="00F003EC"/>
    <w:rsid w:val="00F576CD"/>
    <w:rsid w:val="00F62C1F"/>
    <w:rsid w:val="00F70E5A"/>
    <w:rsid w:val="00F82232"/>
    <w:rsid w:val="04EA3A4C"/>
    <w:rsid w:val="0A2238CF"/>
    <w:rsid w:val="174C3102"/>
    <w:rsid w:val="2FFA4013"/>
    <w:rsid w:val="33F571D7"/>
    <w:rsid w:val="42486EFF"/>
    <w:rsid w:val="43280E41"/>
    <w:rsid w:val="4CAD65A7"/>
    <w:rsid w:val="5CB75D5C"/>
    <w:rsid w:val="5F8E667D"/>
    <w:rsid w:val="65D8629B"/>
    <w:rsid w:val="6A1B5ABB"/>
    <w:rsid w:val="6FD01554"/>
    <w:rsid w:val="72A94BAC"/>
    <w:rsid w:val="7B3D22DB"/>
    <w:rsid w:val="7D2B5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locked/>
    <w:uiPriority w:val="0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0"/>
    <w:rPr>
      <w:rFonts w:cs="Times New Roman"/>
      <w:sz w:val="18"/>
      <w:szCs w:val="18"/>
    </w:rPr>
  </w:style>
  <w:style w:type="character" w:customStyle="1" w:styleId="8">
    <w:name w:val="breadcrumbs pathway"/>
    <w:uiPriority w:val="0"/>
  </w:style>
  <w:style w:type="paragraph" w:customStyle="1" w:styleId="9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919</Words>
  <Characters>937</Characters>
  <Lines>7</Lines>
  <Paragraphs>2</Paragraphs>
  <TotalTime>0</TotalTime>
  <ScaleCrop>false</ScaleCrop>
  <LinksUpToDate>false</LinksUpToDate>
  <CharactersWithSpaces>957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2022-09-14T08:47:00Z</dcterms:created>
  <dc:creator>倪长雨</dc:creator>
  <cp:lastModifiedBy>vertesyuan</cp:lastModifiedBy>
  <cp:lastPrinted>2023-07-04T09:06:00Z</cp:lastPrinted>
  <dcterms:modified xsi:type="dcterms:W3CDTF">2024-10-12T07:35:49Z</dcterms:modified>
  <dc:title>附件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B759C0669EE54ECA9DF16285F122220A_13</vt:lpwstr>
  </property>
</Properties>
</file>