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14BD8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53BAE02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BC5043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E11039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75321F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77C555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AF8E51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9DCDEAE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lang/>
        </w:rPr>
        <w:drawing>
          <wp:inline distT="0" distB="0" distL="114300" distR="114300">
            <wp:extent cx="2656205" cy="483235"/>
            <wp:effectExtent l="0" t="0" r="10795" b="12065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0197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32ECB131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《国际经济学》科目大纲</w:t>
      </w:r>
    </w:p>
    <w:p w14:paraId="1978B47B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(科目代码：790)</w:t>
      </w:r>
    </w:p>
    <w:p w14:paraId="524E5E5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BCA0F7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C900B1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C3494D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EE8C7C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D34151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E654A1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3112BFB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商学院          </w:t>
      </w:r>
    </w:p>
    <w:p w14:paraId="18B32EB7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</w:t>
      </w:r>
    </w:p>
    <w:p w14:paraId="5827CB70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7E7540FA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121141E7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0966C72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261F3E87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《国际经济学》科目大纲</w:t>
      </w:r>
    </w:p>
    <w:p w14:paraId="58A62938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(科目代码：790)</w:t>
      </w:r>
    </w:p>
    <w:p w14:paraId="331037D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导 论</w:t>
      </w:r>
    </w:p>
    <w:p w14:paraId="3311E1A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经济全球化与国际经济学</w:t>
      </w:r>
    </w:p>
    <w:p w14:paraId="60F8D3D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国际经济学的研究范畴</w:t>
      </w:r>
    </w:p>
    <w:p w14:paraId="0482CE9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国际经济学研究安排</w:t>
      </w:r>
    </w:p>
    <w:p w14:paraId="13B7946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国际贸易的基础</w:t>
      </w:r>
    </w:p>
    <w:p w14:paraId="6555C18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生产技术的差别</w:t>
      </w:r>
    </w:p>
    <w:p w14:paraId="3E352F6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要素禀赋的差异</w:t>
      </w:r>
    </w:p>
    <w:p w14:paraId="7C17E37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生产规模的差别</w:t>
      </w:r>
    </w:p>
    <w:p w14:paraId="044D6377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生产技术的变化</w:t>
      </w:r>
    </w:p>
    <w:p w14:paraId="06F83AC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需求的差别</w:t>
      </w:r>
    </w:p>
    <w:p w14:paraId="4EC3836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国际贸易对经济的影响</w:t>
      </w:r>
    </w:p>
    <w:p w14:paraId="6EBFCD9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国际贸易和商品的国际市场价格</w:t>
      </w:r>
    </w:p>
    <w:p w14:paraId="48D3CD2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国际贸易对本国商品市场的影响</w:t>
      </w:r>
    </w:p>
    <w:p w14:paraId="516E1D4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国际贸易收益的衡量</w:t>
      </w:r>
    </w:p>
    <w:p w14:paraId="641F459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国际贸易和生产要素收益</w:t>
      </w:r>
    </w:p>
    <w:p w14:paraId="202E8CD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外包对经济的影响</w:t>
      </w:r>
    </w:p>
    <w:p w14:paraId="76CA4E1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经济增长和生产要素流动对国际贸易的影响</w:t>
      </w:r>
    </w:p>
    <w:p w14:paraId="4743F1A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经济增长与国际贸易</w:t>
      </w:r>
    </w:p>
    <w:p w14:paraId="050BBC3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国际劳动力的流动</w:t>
      </w:r>
    </w:p>
    <w:p w14:paraId="4A102E28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国际资本流动</w:t>
      </w:r>
    </w:p>
    <w:p w14:paraId="7459D39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国际要素流动和国际贸易的关系</w:t>
      </w:r>
    </w:p>
    <w:p w14:paraId="3F9CF2F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进口保护政策：关税与非关税壁垒</w:t>
      </w:r>
    </w:p>
    <w:p w14:paraId="5E5C48C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进口关税及其均衡分析</w:t>
      </w:r>
    </w:p>
    <w:p w14:paraId="574BCF2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进口关税的总体均衡分析</w:t>
      </w:r>
    </w:p>
    <w:p w14:paraId="4D23849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进口配额与“自愿出口限额”</w:t>
      </w:r>
    </w:p>
    <w:p w14:paraId="11DD291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影响进口的国内经济政策</w:t>
      </w:r>
    </w:p>
    <w:p w14:paraId="37F2D8C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相机保护措施</w:t>
      </w:r>
    </w:p>
    <w:p w14:paraId="2EE3C3F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第五章</w:t>
      </w:r>
      <w:r>
        <w:rPr>
          <w:rFonts w:ascii="仿宋_GB2312" w:hAnsi="宋体" w:eastAsia="仿宋_GB2312"/>
          <w:b/>
          <w:szCs w:val="21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出口鼓励与其他政策</w:t>
      </w:r>
    </w:p>
    <w:p w14:paraId="1FD0FC0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鼓励出口的贸易和产业政策</w:t>
      </w:r>
    </w:p>
    <w:p w14:paraId="50C9585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价格支持</w:t>
      </w:r>
    </w:p>
    <w:p w14:paraId="51E15233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出口限制与进口鼓励</w:t>
      </w:r>
    </w:p>
    <w:p w14:paraId="3AEC8B8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贸易制裁</w:t>
      </w:r>
    </w:p>
    <w:p w14:paraId="225C7F58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第六章 贸易保护理论</w:t>
      </w:r>
    </w:p>
    <w:p w14:paraId="06935C1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贸易保护的传统依据</w:t>
      </w:r>
    </w:p>
    <w:p w14:paraId="72CCE53D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贸易保护的新理论</w:t>
      </w:r>
    </w:p>
    <w:p w14:paraId="5EFD75D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贸易政策制定中的政治经济学</w:t>
      </w:r>
    </w:p>
    <w:p w14:paraId="09F933D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第七章 外汇和汇率</w:t>
      </w:r>
    </w:p>
    <w:p w14:paraId="3363895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外汇与汇率 </w:t>
      </w:r>
    </w:p>
    <w:p w14:paraId="45AECF7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汇率的决定</w:t>
      </w:r>
    </w:p>
    <w:p w14:paraId="544F5B5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长期汇率的决定</w:t>
      </w:r>
    </w:p>
    <w:p w14:paraId="39170901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第八章 国际收支及其调整 </w:t>
      </w:r>
    </w:p>
    <w:p w14:paraId="412B091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国际收支的概念</w:t>
      </w:r>
    </w:p>
    <w:p w14:paraId="47EDDAF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国际收支分析</w:t>
      </w:r>
    </w:p>
    <w:p w14:paraId="7CDCA32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国际收支调整理论</w:t>
      </w:r>
    </w:p>
    <w:p w14:paraId="3852BBB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第九章 国际货币体系</w:t>
      </w:r>
    </w:p>
    <w:p w14:paraId="0C57498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金本位制</w:t>
      </w:r>
    </w:p>
    <w:p w14:paraId="5F60F22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布雷顿森林体系</w:t>
      </w:r>
    </w:p>
    <w:p w14:paraId="111C476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新国际货币体系的发展</w:t>
      </w:r>
    </w:p>
    <w:p w14:paraId="281B8949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第十章 国际金融市场与金融组织</w:t>
      </w:r>
    </w:p>
    <w:p w14:paraId="311E738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国际金融市场概述</w:t>
      </w:r>
    </w:p>
    <w:p w14:paraId="1C99444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外汇市场</w:t>
      </w:r>
    </w:p>
    <w:p w14:paraId="64CFBCA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国际货币市场</w:t>
      </w:r>
    </w:p>
    <w:p w14:paraId="58BF3FF7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国际资本市场</w:t>
      </w:r>
    </w:p>
    <w:p w14:paraId="4481334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国际金融市场</w:t>
      </w:r>
    </w:p>
    <w:p w14:paraId="383022E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第十一章 开放经济下的财政和货币政策</w:t>
      </w:r>
    </w:p>
    <w:p w14:paraId="65EC2DA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开放经济下的政策目标与政策工具</w:t>
      </w:r>
    </w:p>
    <w:p w14:paraId="5CFA1DA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开放经济下的财政、货币政策：蒙代尔-弗莱明模型</w:t>
      </w:r>
    </w:p>
    <w:p w14:paraId="3DE2C58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蒙代尔-弗莱明模型的拓展</w:t>
      </w:r>
    </w:p>
    <w:p w14:paraId="47BDCA4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第十二章 国际政策协调与金融危机处理</w:t>
      </w:r>
    </w:p>
    <w:p w14:paraId="5EC3D82E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宏观经济政策的国际协调</w:t>
      </w:r>
    </w:p>
    <w:p w14:paraId="1D01F6D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宏观经济政策国际协调和危机处理</w:t>
      </w:r>
    </w:p>
    <w:p w14:paraId="4B4337F1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2</w:t>
      </w:r>
      <w:r>
        <w:rPr>
          <w:rFonts w:ascii="仿宋_GB2312" w:hAnsi="宋体" w:eastAsia="仿宋_GB2312"/>
          <w:szCs w:val="21"/>
        </w:rPr>
        <w:t>007-2009</w:t>
      </w:r>
      <w:r>
        <w:rPr>
          <w:rFonts w:hint="eastAsia" w:ascii="仿宋_GB2312" w:hAnsi="宋体" w:eastAsia="仿宋_GB2312"/>
          <w:szCs w:val="21"/>
        </w:rPr>
        <w:t>年全球金融危机与世界经济衰退</w:t>
      </w:r>
    </w:p>
    <w:p w14:paraId="1D0EFCDB">
      <w:pPr>
        <w:widowControl/>
        <w:spacing w:line="520" w:lineRule="exact"/>
        <w:jc w:val="left"/>
        <w:rPr>
          <w:rFonts w:ascii="仿宋_GB2312" w:hAnsi="宋体" w:eastAsia="仿宋_GB2312"/>
          <w:b/>
          <w:bCs/>
          <w:szCs w:val="21"/>
        </w:rPr>
      </w:pPr>
    </w:p>
    <w:p w14:paraId="135AAF0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 w14:paraId="4E4F47B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1．海闻，施建淮.国际经济学（21世纪课程教材），高等教育出版社，201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-</w:t>
      </w:r>
      <w:r>
        <w:rPr>
          <w:rFonts w:ascii="仿宋_GB2312" w:hAnsi="宋体" w:eastAsia="仿宋_GB2312"/>
          <w:b/>
          <w:bCs/>
          <w:szCs w:val="21"/>
        </w:rPr>
        <w:t>7</w:t>
      </w:r>
      <w:r>
        <w:rPr>
          <w:rFonts w:hint="eastAsia" w:ascii="仿宋_GB2312" w:hAnsi="宋体" w:eastAsia="仿宋_GB2312"/>
          <w:b/>
          <w:bCs/>
          <w:szCs w:val="21"/>
        </w:rPr>
        <w:t>.</w:t>
      </w:r>
    </w:p>
    <w:p w14:paraId="3480105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ascii="仿宋_GB2312" w:hAnsi="宋体" w:eastAsia="仿宋_GB2312"/>
          <w:b/>
          <w:bCs/>
          <w:szCs w:val="21"/>
        </w:rPr>
        <w:t>2</w:t>
      </w:r>
      <w:r>
        <w:rPr>
          <w:rFonts w:hint="eastAsia" w:ascii="仿宋_GB2312" w:hAnsi="宋体" w:eastAsia="仿宋_GB2312"/>
          <w:b/>
          <w:bCs/>
          <w:szCs w:val="21"/>
        </w:rPr>
        <w:t>．刘辉祥.国际经济学（2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世纪经济与管理规划教材），北京大学出版社，2</w:t>
      </w:r>
      <w:r>
        <w:rPr>
          <w:rFonts w:ascii="仿宋_GB2312" w:hAnsi="宋体" w:eastAsia="仿宋_GB2312"/>
          <w:b/>
          <w:bCs/>
          <w:szCs w:val="21"/>
        </w:rPr>
        <w:t>012-08</w:t>
      </w:r>
      <w:r>
        <w:rPr>
          <w:rFonts w:hint="eastAsia" w:ascii="仿宋_GB2312" w:hAnsi="宋体" w:eastAsia="仿宋_GB2312"/>
          <w:b/>
          <w:bCs/>
          <w:szCs w:val="21"/>
        </w:rPr>
        <w:t>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72A27"/>
    <w:rsid w:val="00001E63"/>
    <w:rsid w:val="00094067"/>
    <w:rsid w:val="00150CCA"/>
    <w:rsid w:val="00167A0F"/>
    <w:rsid w:val="001838BE"/>
    <w:rsid w:val="001A686F"/>
    <w:rsid w:val="001D719B"/>
    <w:rsid w:val="001F15BF"/>
    <w:rsid w:val="001F62F4"/>
    <w:rsid w:val="00265E82"/>
    <w:rsid w:val="002D4041"/>
    <w:rsid w:val="00347D66"/>
    <w:rsid w:val="003B19F9"/>
    <w:rsid w:val="00436311"/>
    <w:rsid w:val="00473277"/>
    <w:rsid w:val="004B51AB"/>
    <w:rsid w:val="00513B9B"/>
    <w:rsid w:val="00561B22"/>
    <w:rsid w:val="00564359"/>
    <w:rsid w:val="00590112"/>
    <w:rsid w:val="00590390"/>
    <w:rsid w:val="00642D4F"/>
    <w:rsid w:val="00655710"/>
    <w:rsid w:val="006C476C"/>
    <w:rsid w:val="006D138C"/>
    <w:rsid w:val="0075017F"/>
    <w:rsid w:val="00770C5E"/>
    <w:rsid w:val="00775B8D"/>
    <w:rsid w:val="007765A1"/>
    <w:rsid w:val="00784879"/>
    <w:rsid w:val="007951AC"/>
    <w:rsid w:val="007B4F0A"/>
    <w:rsid w:val="007E3C03"/>
    <w:rsid w:val="007E635D"/>
    <w:rsid w:val="00823067"/>
    <w:rsid w:val="00895A3C"/>
    <w:rsid w:val="008A6DFA"/>
    <w:rsid w:val="008B1FFA"/>
    <w:rsid w:val="008B4388"/>
    <w:rsid w:val="008D2332"/>
    <w:rsid w:val="00930C61"/>
    <w:rsid w:val="00932F0D"/>
    <w:rsid w:val="009A13CA"/>
    <w:rsid w:val="009B2A68"/>
    <w:rsid w:val="009B726C"/>
    <w:rsid w:val="009C2185"/>
    <w:rsid w:val="009D194D"/>
    <w:rsid w:val="009F0324"/>
    <w:rsid w:val="009F6CA6"/>
    <w:rsid w:val="00A24D8C"/>
    <w:rsid w:val="00B3364B"/>
    <w:rsid w:val="00B4298B"/>
    <w:rsid w:val="00B45AAA"/>
    <w:rsid w:val="00B634C4"/>
    <w:rsid w:val="00BB53A6"/>
    <w:rsid w:val="00BC1FE7"/>
    <w:rsid w:val="00BE4A3B"/>
    <w:rsid w:val="00C528C2"/>
    <w:rsid w:val="00C75003"/>
    <w:rsid w:val="00C87B2F"/>
    <w:rsid w:val="00C93327"/>
    <w:rsid w:val="00CA077D"/>
    <w:rsid w:val="00CA18C7"/>
    <w:rsid w:val="00CB491B"/>
    <w:rsid w:val="00CE7C8E"/>
    <w:rsid w:val="00D406A9"/>
    <w:rsid w:val="00D7374D"/>
    <w:rsid w:val="00DB2579"/>
    <w:rsid w:val="00DC6E30"/>
    <w:rsid w:val="00EA6D2C"/>
    <w:rsid w:val="00F10C1E"/>
    <w:rsid w:val="00F132C3"/>
    <w:rsid w:val="00F57D41"/>
    <w:rsid w:val="00F62C78"/>
    <w:rsid w:val="00FB149B"/>
    <w:rsid w:val="00FC4353"/>
    <w:rsid w:val="146A0D38"/>
    <w:rsid w:val="196E1A4F"/>
    <w:rsid w:val="22FD0189"/>
    <w:rsid w:val="293A4DD8"/>
    <w:rsid w:val="311A54E9"/>
    <w:rsid w:val="358D4ACB"/>
    <w:rsid w:val="42B04820"/>
    <w:rsid w:val="463F5976"/>
    <w:rsid w:val="4F241942"/>
    <w:rsid w:val="5A851538"/>
    <w:rsid w:val="767D4D93"/>
    <w:rsid w:val="7F481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2019-06-20T02:19:00Z</dcterms:created>
  <dc:creator>pc</dc:creator>
  <cp:lastModifiedBy>vertesyuan</cp:lastModifiedBy>
  <dcterms:modified xsi:type="dcterms:W3CDTF">2024-10-10T08:48:32Z</dcterms:modified>
  <dc:title>《劳动经济学》科目大纲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4F0DBCB320DD4A8C9D4259DFE115DEB9_13</vt:lpwstr>
  </property>
</Properties>
</file>