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0" w:lineRule="auto"/>
        <w:rPr>
          <w:rFonts w:ascii="Arial"/>
          <w:sz w:val="21"/>
        </w:rPr>
      </w:pPr>
      <w:r/>
    </w:p>
    <w:p>
      <w:pPr>
        <w:ind w:left="3238"/>
        <w:spacing w:before="146" w:line="354" w:lineRule="exact"/>
        <w:outlineLvl w:val="0"/>
        <w:rPr>
          <w:rFonts w:ascii="Microsoft YaHei" w:hAnsi="Microsoft YaHei" w:eastAsia="Microsoft YaHei" w:cs="Microsoft YaHei"/>
          <w:sz w:val="34"/>
          <w:szCs w:val="34"/>
        </w:rPr>
      </w:pPr>
      <w:r>
        <w:rPr>
          <w:rFonts w:ascii="Arial" w:hAnsi="Arial" w:eastAsia="Arial" w:cs="Arial"/>
          <w:sz w:val="34"/>
          <w:szCs w:val="34"/>
          <w:spacing w:val="9"/>
          <w:position w:val="-1"/>
        </w:rPr>
        <w:t>870</w:t>
      </w:r>
      <w:r>
        <w:rPr>
          <w:rFonts w:ascii="Arial" w:hAnsi="Arial" w:eastAsia="Arial" w:cs="Arial"/>
          <w:sz w:val="34"/>
          <w:szCs w:val="34"/>
          <w:spacing w:val="80"/>
          <w:position w:val="-1"/>
        </w:rPr>
        <w:t xml:space="preserve"> </w:t>
      </w:r>
      <w:r>
        <w:rPr>
          <w:rFonts w:ascii="Microsoft YaHei" w:hAnsi="Microsoft YaHei" w:eastAsia="Microsoft YaHei" w:cs="Microsoft YaHei"/>
          <w:sz w:val="34"/>
          <w:szCs w:val="34"/>
          <w:spacing w:val="9"/>
          <w:position w:val="-1"/>
        </w:rPr>
        <w:t>考古学基础</w:t>
      </w:r>
    </w:p>
    <w:p>
      <w:pPr>
        <w:spacing w:line="289" w:lineRule="auto"/>
        <w:rPr>
          <w:rFonts w:ascii="Arial"/>
          <w:sz w:val="21"/>
        </w:rPr>
      </w:pPr>
      <w:r/>
    </w:p>
    <w:p>
      <w:pPr>
        <w:spacing w:line="289" w:lineRule="auto"/>
        <w:rPr>
          <w:rFonts w:ascii="Arial"/>
          <w:sz w:val="21"/>
        </w:rPr>
      </w:pPr>
      <w:r/>
    </w:p>
    <w:p>
      <w:pPr>
        <w:ind w:left="567"/>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right="78" w:firstLine="564"/>
        <w:spacing w:before="141" w:line="310" w:lineRule="auto"/>
        <w:rPr/>
      </w:pPr>
      <w:r>
        <w:rPr>
          <w:spacing w:val="1"/>
        </w:rPr>
        <w:t>《考古学基础》考试系文物硕士研究生入学考试科目之一，是教育部</w:t>
      </w:r>
      <w:r>
        <w:rPr>
          <w:spacing w:val="6"/>
        </w:rPr>
        <w:t xml:space="preserve"> </w:t>
      </w:r>
      <w:r>
        <w:rPr>
          <w:spacing w:val="1"/>
        </w:rPr>
        <w:t>授权的各文物硕士培养院校自行命题的选拔性考试。《考古学基础》考试</w:t>
      </w:r>
      <w:r>
        <w:rPr>
          <w:spacing w:val="6"/>
        </w:rPr>
        <w:t xml:space="preserve"> </w:t>
      </w:r>
      <w:r>
        <w:rPr>
          <w:spacing w:val="1"/>
        </w:rPr>
        <w:t>目标是考查考生对考古学基础理论方法和中国考古学知识的掌握情况，是</w:t>
      </w:r>
      <w:r>
        <w:rPr>
          <w:spacing w:val="6"/>
        </w:rPr>
        <w:t xml:space="preserve"> </w:t>
      </w:r>
      <w:r>
        <w:rPr>
          <w:spacing w:val="-1"/>
        </w:rPr>
        <w:t>否具备攻读文物硕士的基本素质、一般能力和培养潜能。</w:t>
      </w:r>
    </w:p>
    <w:p>
      <w:pPr>
        <w:ind w:left="567"/>
        <w:spacing w:before="41"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70"/>
        <w:spacing w:before="143" w:line="221" w:lineRule="auto"/>
        <w:outlineLvl w:val="1"/>
        <w:rPr/>
      </w:pPr>
      <w:r>
        <w:rPr>
          <w:rFonts w:ascii="Times New Roman" w:hAnsi="Times New Roman" w:eastAsia="Times New Roman" w:cs="Times New Roman"/>
          <w:b/>
          <w:bCs/>
          <w:spacing w:val="-4"/>
        </w:rPr>
        <w:t>1.</w:t>
      </w:r>
      <w:r>
        <w:rPr>
          <w:b/>
          <w:bCs/>
          <w:spacing w:val="-4"/>
        </w:rPr>
        <w:t>考古学理论方法</w:t>
      </w:r>
    </w:p>
    <w:p>
      <w:pPr>
        <w:pStyle w:val="BodyText"/>
        <w:ind w:left="570"/>
        <w:spacing w:before="145" w:line="221" w:lineRule="auto"/>
        <w:rPr/>
      </w:pPr>
      <w:r>
        <w:rPr>
          <w:spacing w:val="-1"/>
        </w:rPr>
        <w:t>（</w:t>
      </w:r>
      <w:r>
        <w:rPr>
          <w:rFonts w:ascii="Times New Roman" w:hAnsi="Times New Roman" w:eastAsia="Times New Roman" w:cs="Times New Roman"/>
          <w:spacing w:val="-1"/>
        </w:rPr>
        <w:t>1</w:t>
      </w:r>
      <w:r>
        <w:rPr>
          <w:spacing w:val="-1"/>
        </w:rPr>
        <w:t>）考古学的定义、作用、意义、局限性。</w:t>
      </w:r>
    </w:p>
    <w:p>
      <w:pPr>
        <w:pStyle w:val="BodyText"/>
        <w:ind w:left="570"/>
        <w:spacing w:before="145" w:line="220" w:lineRule="auto"/>
        <w:rPr/>
      </w:pPr>
      <w:r>
        <w:rPr>
          <w:spacing w:val="-2"/>
        </w:rPr>
        <w:t>（</w:t>
      </w:r>
      <w:r>
        <w:rPr>
          <w:rFonts w:ascii="Times New Roman" w:hAnsi="Times New Roman" w:eastAsia="Times New Roman" w:cs="Times New Roman"/>
          <w:spacing w:val="-2"/>
        </w:rPr>
        <w:t>2</w:t>
      </w:r>
      <w:r>
        <w:rPr>
          <w:spacing w:val="-2"/>
        </w:rPr>
        <w:t>）考古学的研究对象。</w:t>
      </w:r>
    </w:p>
    <w:p>
      <w:pPr>
        <w:pStyle w:val="BodyText"/>
        <w:ind w:left="570"/>
        <w:spacing w:before="147" w:line="220" w:lineRule="auto"/>
        <w:rPr/>
      </w:pPr>
      <w:r>
        <w:rPr>
          <w:spacing w:val="-2"/>
        </w:rPr>
        <w:t>（</w:t>
      </w:r>
      <w:r>
        <w:rPr>
          <w:rFonts w:ascii="Times New Roman" w:hAnsi="Times New Roman" w:eastAsia="Times New Roman" w:cs="Times New Roman"/>
          <w:spacing w:val="-2"/>
        </w:rPr>
        <w:t>3</w:t>
      </w:r>
      <w:r>
        <w:rPr>
          <w:spacing w:val="-2"/>
        </w:rPr>
        <w:t>）考古学与其他学科的关系。</w:t>
      </w:r>
    </w:p>
    <w:p>
      <w:pPr>
        <w:pStyle w:val="BodyText"/>
        <w:ind w:left="570"/>
        <w:spacing w:before="146" w:line="221" w:lineRule="auto"/>
        <w:rPr/>
      </w:pPr>
      <w:r>
        <w:rPr>
          <w:spacing w:val="-3"/>
        </w:rPr>
        <w:t>（</w:t>
      </w:r>
      <w:r>
        <w:rPr>
          <w:rFonts w:ascii="Times New Roman" w:hAnsi="Times New Roman" w:eastAsia="Times New Roman" w:cs="Times New Roman"/>
          <w:spacing w:val="-3"/>
        </w:rPr>
        <w:t>4</w:t>
      </w:r>
      <w:r>
        <w:rPr>
          <w:spacing w:val="-3"/>
        </w:rPr>
        <w:t>）考古学发展史。</w:t>
      </w:r>
    </w:p>
    <w:p>
      <w:pPr>
        <w:pStyle w:val="BodyText"/>
        <w:ind w:left="570"/>
        <w:spacing w:before="145" w:line="220" w:lineRule="auto"/>
        <w:rPr/>
      </w:pPr>
      <w:r>
        <w:rPr>
          <w:spacing w:val="-1"/>
        </w:rPr>
        <w:t>（</w:t>
      </w:r>
      <w:r>
        <w:rPr>
          <w:rFonts w:ascii="Times New Roman" w:hAnsi="Times New Roman" w:eastAsia="Times New Roman" w:cs="Times New Roman"/>
          <w:spacing w:val="-1"/>
        </w:rPr>
        <w:t>5</w:t>
      </w:r>
      <w:r>
        <w:rPr>
          <w:spacing w:val="-1"/>
        </w:rPr>
        <w:t>）田野考古调查、勘探、发掘的基本理论与方法。</w:t>
      </w:r>
    </w:p>
    <w:p>
      <w:pPr>
        <w:pStyle w:val="BodyText"/>
        <w:ind w:left="570"/>
        <w:spacing w:before="146" w:line="221" w:lineRule="auto"/>
        <w:rPr/>
      </w:pPr>
      <w:r>
        <w:rPr>
          <w:spacing w:val="-1"/>
        </w:rPr>
        <w:t>（</w:t>
      </w:r>
      <w:r>
        <w:rPr>
          <w:rFonts w:ascii="Times New Roman" w:hAnsi="Times New Roman" w:eastAsia="Times New Roman" w:cs="Times New Roman"/>
          <w:spacing w:val="-1"/>
        </w:rPr>
        <w:t>6</w:t>
      </w:r>
      <w:r>
        <w:rPr>
          <w:spacing w:val="-1"/>
        </w:rPr>
        <w:t>）考古学绝对年代与相对年代，考古学测年方法</w:t>
      </w:r>
    </w:p>
    <w:p>
      <w:pPr>
        <w:pStyle w:val="BodyText"/>
        <w:ind w:left="570"/>
        <w:spacing w:before="145" w:line="220" w:lineRule="auto"/>
        <w:rPr/>
      </w:pPr>
      <w:r>
        <w:rPr>
          <w:spacing w:val="-1"/>
        </w:rPr>
        <w:t>（</w:t>
      </w:r>
      <w:r>
        <w:rPr>
          <w:rFonts w:ascii="Times New Roman" w:hAnsi="Times New Roman" w:eastAsia="Times New Roman" w:cs="Times New Roman"/>
          <w:spacing w:val="-1"/>
        </w:rPr>
        <w:t>7</w:t>
      </w:r>
      <w:r>
        <w:rPr>
          <w:spacing w:val="-1"/>
        </w:rPr>
        <w:t>）考古类型学、地层学的基本内容、作用及局限性。</w:t>
      </w:r>
    </w:p>
    <w:p>
      <w:pPr>
        <w:pStyle w:val="BodyText"/>
        <w:ind w:left="570"/>
        <w:spacing w:before="146" w:line="220" w:lineRule="auto"/>
        <w:rPr/>
      </w:pPr>
      <w:r>
        <w:rPr>
          <w:spacing w:val="-1"/>
        </w:rPr>
        <w:t>（</w:t>
      </w:r>
      <w:r>
        <w:rPr>
          <w:rFonts w:ascii="Times New Roman" w:hAnsi="Times New Roman" w:eastAsia="Times New Roman" w:cs="Times New Roman"/>
          <w:spacing w:val="-1"/>
        </w:rPr>
        <w:t>8</w:t>
      </w:r>
      <w:r>
        <w:rPr>
          <w:spacing w:val="-1"/>
        </w:rPr>
        <w:t>）考古学文化因素分析法的基本内容、作用和意义。</w:t>
      </w:r>
    </w:p>
    <w:p>
      <w:pPr>
        <w:pStyle w:val="BodyText"/>
        <w:ind w:left="570"/>
        <w:spacing w:before="146" w:line="221" w:lineRule="auto"/>
        <w:rPr/>
      </w:pPr>
      <w:r>
        <w:rPr>
          <w:spacing w:val="-1"/>
        </w:rPr>
        <w:t>（</w:t>
      </w:r>
      <w:r>
        <w:rPr>
          <w:rFonts w:ascii="Times New Roman" w:hAnsi="Times New Roman" w:eastAsia="Times New Roman" w:cs="Times New Roman"/>
          <w:spacing w:val="-1"/>
        </w:rPr>
        <w:t>9</w:t>
      </w:r>
      <w:r>
        <w:rPr>
          <w:spacing w:val="-1"/>
        </w:rPr>
        <w:t>）考古学文化的概念、考古学文化区系类型理论。</w:t>
      </w:r>
    </w:p>
    <w:p>
      <w:pPr>
        <w:pStyle w:val="BodyText"/>
        <w:ind w:left="570"/>
        <w:spacing w:before="145" w:line="220" w:lineRule="auto"/>
        <w:rPr/>
      </w:pPr>
      <w:r>
        <w:rPr>
          <w:spacing w:val="-1"/>
        </w:rPr>
        <w:t>（</w:t>
      </w:r>
      <w:r>
        <w:rPr>
          <w:rFonts w:ascii="Times New Roman" w:hAnsi="Times New Roman" w:eastAsia="Times New Roman" w:cs="Times New Roman"/>
          <w:spacing w:val="-1"/>
        </w:rPr>
        <w:t>10</w:t>
      </w:r>
      <w:r>
        <w:rPr>
          <w:spacing w:val="-1"/>
        </w:rPr>
        <w:t>）聚落、聚落形态和聚落考古，聚落布局，人口与社会组织。</w:t>
      </w:r>
    </w:p>
    <w:p>
      <w:pPr>
        <w:pStyle w:val="BodyText"/>
        <w:ind w:left="570"/>
        <w:spacing w:before="147" w:line="220" w:lineRule="auto"/>
        <w:rPr/>
      </w:pPr>
      <w:r>
        <w:rPr>
          <w:spacing w:val="-1"/>
        </w:rPr>
        <w:t>（</w:t>
      </w:r>
      <w:r>
        <w:rPr>
          <w:rFonts w:ascii="Times New Roman" w:hAnsi="Times New Roman" w:eastAsia="Times New Roman" w:cs="Times New Roman"/>
          <w:spacing w:val="-1"/>
        </w:rPr>
        <w:t>11</w:t>
      </w:r>
      <w:r>
        <w:rPr>
          <w:spacing w:val="-1"/>
        </w:rPr>
        <w:t>）国家、文明、社会复杂化的相关概念</w:t>
      </w:r>
      <w:r>
        <w:rPr>
          <w:spacing w:val="-2"/>
        </w:rPr>
        <w:t>及理论方法。</w:t>
      </w:r>
    </w:p>
    <w:p>
      <w:pPr>
        <w:pStyle w:val="BodyText"/>
        <w:ind w:left="570"/>
        <w:spacing w:before="146" w:line="221" w:lineRule="auto"/>
        <w:rPr/>
      </w:pPr>
      <w:r>
        <w:rPr>
          <w:spacing w:val="-2"/>
        </w:rPr>
        <w:t>（</w:t>
      </w:r>
      <w:r>
        <w:rPr>
          <w:rFonts w:ascii="Times New Roman" w:hAnsi="Times New Roman" w:eastAsia="Times New Roman" w:cs="Times New Roman"/>
          <w:spacing w:val="-2"/>
        </w:rPr>
        <w:t>12</w:t>
      </w:r>
      <w:r>
        <w:rPr>
          <w:spacing w:val="-2"/>
        </w:rPr>
        <w:t>）考古遗址的保护与利用。</w:t>
      </w:r>
    </w:p>
    <w:p>
      <w:pPr>
        <w:pStyle w:val="BodyText"/>
        <w:ind w:left="570"/>
        <w:spacing w:before="144" w:line="221" w:lineRule="auto"/>
        <w:rPr/>
      </w:pPr>
      <w:r>
        <w:rPr>
          <w:spacing w:val="-1"/>
        </w:rPr>
        <w:t>（</w:t>
      </w:r>
      <w:r>
        <w:rPr>
          <w:rFonts w:ascii="Times New Roman" w:hAnsi="Times New Roman" w:eastAsia="Times New Roman" w:cs="Times New Roman"/>
          <w:spacing w:val="-1"/>
        </w:rPr>
        <w:t>13</w:t>
      </w:r>
      <w:r>
        <w:rPr>
          <w:spacing w:val="-1"/>
        </w:rPr>
        <w:t>）公共考古学的概念、缘起、内容、现状与发展趋势。</w:t>
      </w:r>
    </w:p>
    <w:p>
      <w:pPr>
        <w:pStyle w:val="BodyText"/>
        <w:ind w:left="558"/>
        <w:spacing w:before="145" w:line="221" w:lineRule="auto"/>
        <w:outlineLvl w:val="1"/>
        <w:rPr/>
      </w:pPr>
      <w:r>
        <w:rPr>
          <w:rFonts w:ascii="Times New Roman" w:hAnsi="Times New Roman" w:eastAsia="Times New Roman" w:cs="Times New Roman"/>
          <w:b/>
          <w:bCs/>
          <w:spacing w:val="-7"/>
        </w:rPr>
        <w:t>2.</w:t>
      </w:r>
      <w:r>
        <w:rPr>
          <w:rFonts w:ascii="Times New Roman" w:hAnsi="Times New Roman" w:eastAsia="Times New Roman" w:cs="Times New Roman"/>
          <w:b/>
          <w:bCs/>
          <w:spacing w:val="-34"/>
        </w:rPr>
        <w:t xml:space="preserve"> </w:t>
      </w:r>
      <w:r>
        <w:rPr>
          <w:b/>
          <w:bCs/>
          <w:spacing w:val="-7"/>
        </w:rPr>
        <w:t>中国考古知识</w:t>
      </w:r>
    </w:p>
    <w:p>
      <w:pPr>
        <w:pStyle w:val="BodyText"/>
        <w:ind w:left="4" w:firstLine="566"/>
        <w:spacing w:before="143" w:line="310" w:lineRule="auto"/>
        <w:jc w:val="both"/>
        <w:rPr/>
      </w:pPr>
      <w:r>
        <w:rPr>
          <w:spacing w:val="-10"/>
        </w:rPr>
        <w:t>（</w:t>
      </w:r>
      <w:r>
        <w:rPr>
          <w:rFonts w:ascii="Times New Roman" w:hAnsi="Times New Roman" w:eastAsia="Times New Roman" w:cs="Times New Roman"/>
          <w:spacing w:val="-10"/>
        </w:rPr>
        <w:t>1</w:t>
      </w:r>
      <w:r>
        <w:rPr>
          <w:spacing w:val="-10"/>
        </w:rPr>
        <w:t>）人类起源、现代人起源和旧石器文化，各时期重要的古人类化石，</w:t>
      </w:r>
      <w:r>
        <w:rPr>
          <w:spacing w:val="8"/>
        </w:rPr>
        <w:t xml:space="preserve"> </w:t>
      </w:r>
      <w:r>
        <w:rPr>
          <w:spacing w:val="1"/>
        </w:rPr>
        <w:t>旧石器早、中、晚期代表性文化。黄河流域、长江流域、辽河流域各时期</w:t>
      </w:r>
      <w:r>
        <w:rPr>
          <w:spacing w:val="2"/>
        </w:rPr>
        <w:t xml:space="preserve"> </w:t>
      </w:r>
      <w:r>
        <w:rPr>
          <w:spacing w:val="1"/>
        </w:rPr>
        <w:t>的主要考古学文化，各考古学文化的年代范围、地理分布，主要的文化特</w:t>
      </w:r>
      <w:r>
        <w:rPr>
          <w:spacing w:val="2"/>
        </w:rPr>
        <w:t xml:space="preserve"> </w:t>
      </w:r>
      <w:r>
        <w:rPr>
          <w:spacing w:val="1"/>
        </w:rPr>
        <w:t>征如陶器、石器、玉器、经济形态、聚落分布和葬俗等。夏商周时期主要</w:t>
      </w:r>
    </w:p>
    <w:p>
      <w:pPr>
        <w:spacing w:line="310" w:lineRule="auto"/>
        <w:sectPr>
          <w:footerReference w:type="default" r:id="rId1"/>
          <w:pgSz w:w="12070" w:h="16950"/>
          <w:pgMar w:top="1440" w:right="1393" w:bottom="1744" w:left="1596" w:header="0" w:footer="1527" w:gutter="0"/>
        </w:sectPr>
        <w:rPr/>
      </w:pPr>
    </w:p>
    <w:p>
      <w:pPr>
        <w:spacing w:line="295" w:lineRule="auto"/>
        <w:rPr>
          <w:rFonts w:ascii="Arial"/>
          <w:sz w:val="21"/>
        </w:rPr>
      </w:pPr>
      <w:r/>
    </w:p>
    <w:p>
      <w:pPr>
        <w:spacing w:line="295" w:lineRule="auto"/>
        <w:rPr>
          <w:rFonts w:ascii="Arial"/>
          <w:sz w:val="21"/>
        </w:rPr>
      </w:pPr>
      <w:r/>
    </w:p>
    <w:p>
      <w:pPr>
        <w:pStyle w:val="BodyText"/>
        <w:ind w:right="99" w:firstLine="1"/>
        <w:spacing w:before="91" w:line="310" w:lineRule="auto"/>
        <w:rPr/>
      </w:pPr>
      <w:r>
        <w:rPr>
          <w:spacing w:val="1"/>
        </w:rPr>
        <w:t>考古学文化及其时空框架，主要文化的特点如陶器、铜器、玉器，主要城</w:t>
      </w:r>
      <w:r>
        <w:rPr>
          <w:spacing w:val="5"/>
        </w:rPr>
        <w:t xml:space="preserve"> </w:t>
      </w:r>
      <w:r>
        <w:rPr>
          <w:spacing w:val="1"/>
        </w:rPr>
        <w:t>址和墓葬。秦汉至宋元时期的主要城址和重要墓葬的特点，玉器、铁器、</w:t>
      </w:r>
      <w:r>
        <w:rPr>
          <w:spacing w:val="6"/>
        </w:rPr>
        <w:t xml:space="preserve"> </w:t>
      </w:r>
      <w:r>
        <w:rPr>
          <w:spacing w:val="1"/>
        </w:rPr>
        <w:t>金银器，陶瓷考古，石窟寺考古，建筑考古等。中华文明起源与发展的若</w:t>
      </w:r>
      <w:r>
        <w:rPr>
          <w:spacing w:val="6"/>
        </w:rPr>
        <w:t xml:space="preserve"> </w:t>
      </w:r>
      <w:r>
        <w:rPr>
          <w:spacing w:val="-1"/>
        </w:rPr>
        <w:t>干重要考古发现与研究。</w:t>
      </w:r>
    </w:p>
    <w:p>
      <w:pPr>
        <w:pStyle w:val="BodyText"/>
        <w:ind w:left="1" w:right="99" w:firstLine="569"/>
        <w:spacing w:before="43" w:line="297" w:lineRule="auto"/>
        <w:rPr/>
      </w:pPr>
      <w:r>
        <w:rPr>
          <w:spacing w:val="-4"/>
        </w:rPr>
        <w:t>（</w:t>
      </w:r>
      <w:r>
        <w:rPr>
          <w:rFonts w:ascii="Times New Roman" w:hAnsi="Times New Roman" w:eastAsia="Times New Roman" w:cs="Times New Roman"/>
          <w:spacing w:val="-4"/>
        </w:rPr>
        <w:t>2</w:t>
      </w:r>
      <w:r>
        <w:rPr>
          <w:spacing w:val="-4"/>
        </w:rPr>
        <w:t>）打制石器的技术和主要类型，旧石器技术的发展。磨制石器的发</w:t>
      </w:r>
      <w:r>
        <w:rPr>
          <w:spacing w:val="12"/>
        </w:rPr>
        <w:t xml:space="preserve"> </w:t>
      </w:r>
      <w:r>
        <w:rPr>
          <w:spacing w:val="1"/>
        </w:rPr>
        <w:t>展和主要类型及功能。两种石器技术原料、加工、和分析研究的特点。陶</w:t>
      </w:r>
      <w:r>
        <w:rPr>
          <w:spacing w:val="5"/>
        </w:rPr>
        <w:t xml:space="preserve"> </w:t>
      </w:r>
      <w:r>
        <w:rPr>
          <w:spacing w:val="1"/>
        </w:rPr>
        <w:t>器加工的特点，技术的变迁，原料处理、形制特征、加工技术与用途的关</w:t>
      </w:r>
      <w:r>
        <w:rPr>
          <w:spacing w:val="5"/>
        </w:rPr>
        <w:t xml:space="preserve"> </w:t>
      </w:r>
      <w:r>
        <w:rPr>
          <w:spacing w:val="1"/>
        </w:rPr>
        <w:t>系，手工、慢轮和快轮的区别与意义。铜器和铁器的生产、种类、用途。</w:t>
      </w:r>
      <w:r>
        <w:rPr>
          <w:spacing w:val="5"/>
        </w:rPr>
        <w:t xml:space="preserve"> </w:t>
      </w:r>
      <w:r>
        <w:rPr>
          <w:spacing w:val="-1"/>
        </w:rPr>
        <w:t>图像符号的重要考古发现与相关研究。</w:t>
      </w:r>
    </w:p>
    <w:p>
      <w:pPr>
        <w:ind w:left="568"/>
        <w:spacing w:before="145" w:line="222" w:lineRule="auto"/>
        <w:outlineLvl w:val="2"/>
        <w:rPr>
          <w:rFonts w:ascii="SimHei" w:hAnsi="SimHei" w:eastAsia="SimHei" w:cs="SimHei"/>
          <w:sz w:val="28"/>
          <w:szCs w:val="28"/>
        </w:rPr>
      </w:pPr>
      <w:r>
        <w:rPr>
          <w:rFonts w:ascii="SimHei" w:hAnsi="SimHei" w:eastAsia="SimHei" w:cs="SimHei"/>
          <w:sz w:val="28"/>
          <w:szCs w:val="28"/>
          <w:spacing w:val="-3"/>
        </w:rPr>
        <w:t>三、考试形式</w:t>
      </w:r>
    </w:p>
    <w:p>
      <w:pPr>
        <w:pStyle w:val="BodyText"/>
        <w:ind w:left="563"/>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ind w:left="579"/>
        <w:spacing w:before="146" w:line="223" w:lineRule="auto"/>
        <w:rPr>
          <w:rFonts w:ascii="SimHei" w:hAnsi="SimHei" w:eastAsia="SimHei" w:cs="SimHei"/>
          <w:sz w:val="28"/>
          <w:szCs w:val="28"/>
        </w:rPr>
      </w:pPr>
      <w:r>
        <w:rPr>
          <w:rFonts w:ascii="SimHei" w:hAnsi="SimHei" w:eastAsia="SimHei" w:cs="SimHei"/>
          <w:sz w:val="28"/>
          <w:szCs w:val="28"/>
          <w:spacing w:val="-7"/>
        </w:rPr>
        <w:t>四、题型</w:t>
      </w:r>
    </w:p>
    <w:p>
      <w:pPr>
        <w:pStyle w:val="BodyText"/>
        <w:ind w:left="557" w:right="7001" w:firstLine="26"/>
        <w:spacing w:before="140" w:line="303" w:lineRule="auto"/>
        <w:rPr/>
      </w:pPr>
      <w:r>
        <w:rPr>
          <w:rFonts w:ascii="Times New Roman" w:hAnsi="Times New Roman" w:eastAsia="Times New Roman" w:cs="Times New Roman"/>
          <w:spacing w:val="-14"/>
        </w:rPr>
        <w:t>1.</w:t>
      </w:r>
      <w:r>
        <w:rPr>
          <w:spacing w:val="-14"/>
        </w:rPr>
        <w:t>名词解释；</w:t>
      </w:r>
      <w:r>
        <w:rPr/>
        <w:t xml:space="preserve"> </w:t>
      </w:r>
      <w:r>
        <w:rPr>
          <w:rFonts w:ascii="Times New Roman" w:hAnsi="Times New Roman" w:eastAsia="Times New Roman" w:cs="Times New Roman"/>
          <w:spacing w:val="-2"/>
        </w:rPr>
        <w:t>2.</w:t>
      </w:r>
      <w:r>
        <w:rPr>
          <w:spacing w:val="-2"/>
        </w:rPr>
        <w:t>简答题；</w:t>
      </w:r>
    </w:p>
    <w:p>
      <w:pPr>
        <w:pStyle w:val="BodyText"/>
        <w:ind w:left="563"/>
        <w:spacing w:before="42" w:line="223" w:lineRule="auto"/>
        <w:rPr/>
      </w:pPr>
      <w:r>
        <w:rPr>
          <w:rFonts w:ascii="Times New Roman" w:hAnsi="Times New Roman" w:eastAsia="Times New Roman" w:cs="Times New Roman"/>
          <w:spacing w:val="-3"/>
        </w:rPr>
        <w:t>3.</w:t>
      </w:r>
      <w:r>
        <w:rPr>
          <w:spacing w:val="-3"/>
        </w:rPr>
        <w:t>论述题。</w:t>
      </w:r>
    </w:p>
    <w:p>
      <w:pPr>
        <w:ind w:left="570"/>
        <w:spacing w:before="142"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left="557" w:firstLine="26"/>
        <w:spacing w:before="141" w:line="303" w:lineRule="auto"/>
        <w:rPr/>
      </w:pPr>
      <w:r>
        <w:rPr>
          <w:rFonts w:ascii="Times New Roman" w:hAnsi="Times New Roman" w:eastAsia="Times New Roman" w:cs="Times New Roman"/>
          <w:spacing w:val="-2"/>
        </w:rPr>
        <w:t>1.</w:t>
      </w:r>
      <w:r>
        <w:rPr>
          <w:spacing w:val="-2"/>
        </w:rPr>
        <w:t>《考古学概论》，栾丰实主编，高等教育出版社，</w:t>
      </w:r>
      <w:r>
        <w:rPr>
          <w:rFonts w:ascii="Times New Roman" w:hAnsi="Times New Roman" w:eastAsia="Times New Roman" w:cs="Times New Roman"/>
          <w:spacing w:val="-2"/>
        </w:rPr>
        <w:t>2018 </w:t>
      </w:r>
      <w:r>
        <w:rPr>
          <w:spacing w:val="-2"/>
        </w:rPr>
        <w:t>年</w:t>
      </w:r>
      <w:r>
        <w:rPr>
          <w:spacing w:val="-53"/>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18"/>
          <w:w w:val="101"/>
        </w:rPr>
        <w:t xml:space="preserve"> </w:t>
      </w:r>
      <w:r>
        <w:rPr>
          <w:spacing w:val="-2"/>
        </w:rPr>
        <w:t>月版；</w:t>
      </w:r>
      <w:r>
        <w:rPr/>
        <w:t xml:space="preserve">  </w:t>
      </w:r>
      <w:r>
        <w:rPr>
          <w:rFonts w:ascii="Times New Roman" w:hAnsi="Times New Roman" w:eastAsia="Times New Roman" w:cs="Times New Roman"/>
          <w:spacing w:val="-9"/>
        </w:rPr>
        <w:t>2.</w:t>
      </w:r>
      <w:r>
        <w:rPr>
          <w:spacing w:val="-9"/>
        </w:rPr>
        <w:t>《中国考古通论》，张之恒主编，南京大学出版社，</w:t>
      </w:r>
      <w:r>
        <w:rPr>
          <w:rFonts w:ascii="Times New Roman" w:hAnsi="Times New Roman" w:eastAsia="Times New Roman" w:cs="Times New Roman"/>
          <w:spacing w:val="-9"/>
        </w:rPr>
        <w:t>2009 </w:t>
      </w:r>
      <w:r>
        <w:rPr>
          <w:spacing w:val="-9"/>
        </w:rPr>
        <w:t>年</w:t>
      </w:r>
      <w:r>
        <w:rPr>
          <w:spacing w:val="-38"/>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0"/>
        </w:rPr>
        <w:t>0</w:t>
      </w:r>
      <w:r>
        <w:rPr>
          <w:rFonts w:ascii="Times New Roman" w:hAnsi="Times New Roman" w:eastAsia="Times New Roman" w:cs="Times New Roman"/>
          <w:spacing w:val="16"/>
        </w:rPr>
        <w:t xml:space="preserve"> </w:t>
      </w:r>
      <w:r>
        <w:rPr>
          <w:spacing w:val="-10"/>
        </w:rPr>
        <w:t>月版。</w:t>
      </w:r>
    </w:p>
    <w:sectPr>
      <w:footerReference w:type="default" r:id="rId2"/>
      <w:pgSz w:w="12070" w:h="16950"/>
      <w:pgMar w:top="1440" w:right="1374" w:bottom="1744" w:left="1596"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2024-09-25T10:13:02Z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2024-10-11T22:44:18</vt:filetime>
  </property>
</Properties>
</file>