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F865D">
      <w:pPr>
        <w:jc w:val="center"/>
        <w:rPr>
          <w:rFonts w:hint="eastAsia" w:asci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Cs/>
          <w:sz w:val="32"/>
          <w:szCs w:val="32"/>
        </w:rPr>
        <w:t>433-税务专业基础</w:t>
      </w:r>
    </w:p>
    <w:p w14:paraId="1D56A20F">
      <w:pPr>
        <w:jc w:val="center"/>
        <w:rPr>
          <w:rFonts w:hint="eastAsia" w:ascii="黑体" w:hAnsi="宋体" w:eastAsia="黑体"/>
          <w:szCs w:val="21"/>
        </w:rPr>
      </w:pPr>
    </w:p>
    <w:p w14:paraId="32BF27C2">
      <w:pPr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一、考试性质</w:t>
      </w:r>
    </w:p>
    <w:p w14:paraId="7AC68D36">
      <w:pPr>
        <w:spacing w:line="400" w:lineRule="exact"/>
        <w:ind w:firstLine="420" w:firstLineChars="200"/>
        <w:rPr>
          <w:rFonts w:hint="eastAsia" w:ascii="Calibri" w:hAnsi="宋体"/>
          <w:color w:val="000000"/>
          <w:szCs w:val="21"/>
        </w:rPr>
      </w:pPr>
      <w:r>
        <w:rPr>
          <w:rFonts w:ascii="Calibri" w:hAnsi="宋体"/>
          <w:color w:val="000000"/>
          <w:szCs w:val="21"/>
        </w:rPr>
        <w:t>税收学是全国税务专业硕士</w:t>
      </w:r>
      <w:r>
        <w:rPr>
          <w:rFonts w:hint="eastAsia" w:ascii="Calibri" w:hAnsi="宋体"/>
          <w:color w:val="000000"/>
          <w:szCs w:val="21"/>
          <w:lang w:val="en-US" w:eastAsia="zh-CN"/>
        </w:rPr>
        <w:t>研究生招生</w:t>
      </w:r>
      <w:r>
        <w:rPr>
          <w:rFonts w:ascii="Calibri" w:hAnsi="宋体"/>
          <w:color w:val="000000"/>
          <w:szCs w:val="21"/>
        </w:rPr>
        <w:t>考试的专业基础课程。</w:t>
      </w:r>
    </w:p>
    <w:p w14:paraId="4121CC02">
      <w:pPr>
        <w:spacing w:line="400" w:lineRule="exact"/>
        <w:ind w:firstLine="420" w:firstLineChars="200"/>
        <w:rPr>
          <w:rFonts w:hint="eastAsia" w:ascii="Calibri" w:hAnsi="Calibri" w:cs="Times new="/>
          <w:kern w:val="0"/>
          <w:szCs w:val="21"/>
        </w:rPr>
      </w:pPr>
    </w:p>
    <w:p w14:paraId="09386602">
      <w:pPr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二、考试目标</w:t>
      </w:r>
    </w:p>
    <w:p w14:paraId="4FA0BABE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 w:cs="Times new="/>
          <w:kern w:val="0"/>
          <w:szCs w:val="21"/>
        </w:rPr>
        <w:t>本考试大纲的制定力求反映税务硕士专业学位的特点，科学、准确、规范地测评考生税收学的基本素质和综合能力，具体考察考生对税收基础理论、中国税制实务与税收管理制度的掌握与运用，</w:t>
      </w:r>
      <w:r>
        <w:rPr>
          <w:rFonts w:ascii="Calibri" w:hAnsi="宋体"/>
          <w:szCs w:val="21"/>
        </w:rPr>
        <w:t>为国家培养具有良好职业道德和职业素养、具有较强分析问题与解决问题能力的高层次、应用型、复合型的税务专业人才。</w:t>
      </w:r>
    </w:p>
    <w:p w14:paraId="085356F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本考试旨在三个层次上测试考生对税收学原理、中国税制实务、中国税收管理制度等知识掌握的程度和运用能力。三个层次的基本要求分别为：</w:t>
      </w:r>
    </w:p>
    <w:p w14:paraId="0C3BF717">
      <w:pPr>
        <w:spacing w:line="400" w:lineRule="exact"/>
        <w:ind w:firstLine="210" w:firstLineChars="1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熟悉记忆：对税收理论与制度规定的记忆方面的考核。</w:t>
      </w:r>
    </w:p>
    <w:p w14:paraId="19D9579F">
      <w:pPr>
        <w:spacing w:line="400" w:lineRule="exact"/>
        <w:ind w:firstLine="210" w:firstLineChars="1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分析判断：用税收基本理论与制度规定来分析判断某一具体观点和问题；</w:t>
      </w:r>
    </w:p>
    <w:p w14:paraId="5B1404C2">
      <w:pPr>
        <w:spacing w:line="400" w:lineRule="exact"/>
        <w:ind w:firstLine="210" w:firstLineChars="100"/>
        <w:rPr>
          <w:rFonts w:hint="eastAsia" w:ascii="Calibri" w:hAnsi="宋体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综合运用：运用所学的税收理论和制度规定来综合分析具体实践问题。</w:t>
      </w:r>
    </w:p>
    <w:p w14:paraId="179EBB08">
      <w:pPr>
        <w:spacing w:line="400" w:lineRule="exact"/>
        <w:ind w:firstLine="210" w:firstLineChars="100"/>
        <w:rPr>
          <w:rFonts w:hint="eastAsia" w:ascii="Calibri" w:hAnsi="Calibri"/>
          <w:szCs w:val="21"/>
        </w:rPr>
      </w:pPr>
    </w:p>
    <w:p w14:paraId="4B26875C">
      <w:pPr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三、考试形式和试卷结构</w:t>
      </w:r>
      <w:r>
        <w:rPr>
          <w:rFonts w:hint="eastAsia" w:ascii="黑体" w:hAnsi="Calibri" w:eastAsia="黑体"/>
          <w:szCs w:val="21"/>
        </w:rPr>
        <w:t xml:space="preserve"> </w:t>
      </w:r>
    </w:p>
    <w:p w14:paraId="66AA9604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试卷满分及考试时间</w:t>
      </w:r>
    </w:p>
    <w:p w14:paraId="16E99E4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本试卷满分为</w:t>
      </w:r>
      <w:r>
        <w:rPr>
          <w:rFonts w:ascii="Calibri" w:hAnsi="Calibri"/>
          <w:szCs w:val="21"/>
        </w:rPr>
        <w:t>150</w:t>
      </w:r>
      <w:r>
        <w:rPr>
          <w:rFonts w:ascii="Calibri" w:hAnsi="宋体"/>
          <w:szCs w:val="21"/>
        </w:rPr>
        <w:t>分，考试时间为</w:t>
      </w:r>
      <w:r>
        <w:rPr>
          <w:rFonts w:ascii="Calibri" w:hAnsi="Calibri"/>
          <w:szCs w:val="21"/>
        </w:rPr>
        <w:t>180</w:t>
      </w:r>
      <w:r>
        <w:rPr>
          <w:rFonts w:ascii="Calibri" w:hAnsi="宋体"/>
          <w:szCs w:val="21"/>
        </w:rPr>
        <w:t>分钟</w:t>
      </w:r>
    </w:p>
    <w:p w14:paraId="7C060F6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答题方式</w:t>
      </w:r>
      <w:r>
        <w:rPr>
          <w:rFonts w:ascii="Calibri" w:hAnsi="Calibri"/>
          <w:szCs w:val="21"/>
        </w:rPr>
        <w:t xml:space="preserve"> </w:t>
      </w:r>
    </w:p>
    <w:p w14:paraId="7F2ADBDC">
      <w:pPr>
        <w:spacing w:line="400" w:lineRule="exact"/>
        <w:ind w:firstLine="420" w:firstLineChars="200"/>
        <w:rPr>
          <w:rFonts w:ascii="Calibri" w:hAnsi="宋体" w:cs="Times new="/>
          <w:kern w:val="0"/>
          <w:szCs w:val="21"/>
        </w:rPr>
      </w:pPr>
      <w:r>
        <w:rPr>
          <w:rFonts w:ascii="Calibri" w:hAnsi="宋体"/>
          <w:szCs w:val="21"/>
        </w:rPr>
        <w:t>答题方式为闭卷、笔试。</w:t>
      </w:r>
      <w:r>
        <w:rPr>
          <w:rFonts w:ascii="Calibri" w:hAnsi="宋体" w:cs="Times new="/>
          <w:kern w:val="0"/>
          <w:szCs w:val="21"/>
        </w:rPr>
        <w:t>试卷由试题、答题卡和答题纸组成，选择题和判断题的答案必须涂写在答题卡上，其他题目的答案必须写在答题纸相应的位置上。</w:t>
      </w:r>
    </w:p>
    <w:p w14:paraId="189C5D6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试卷结构</w:t>
      </w:r>
    </w:p>
    <w:p w14:paraId="6D4A238D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税收学原理考核的比例</w:t>
      </w:r>
      <w:r>
        <w:rPr>
          <w:rFonts w:hint="eastAsia" w:ascii="Calibri" w:hAnsi="宋体"/>
          <w:szCs w:val="21"/>
          <w:lang w:val="en-US" w:eastAsia="zh-CN"/>
        </w:rPr>
        <w:t>约</w:t>
      </w:r>
      <w:r>
        <w:rPr>
          <w:rFonts w:ascii="Calibri" w:hAnsi="宋体"/>
          <w:szCs w:val="21"/>
        </w:rPr>
        <w:t>为</w:t>
      </w:r>
      <w:r>
        <w:rPr>
          <w:rFonts w:ascii="Calibri" w:hAnsi="Calibri"/>
          <w:szCs w:val="21"/>
        </w:rPr>
        <w:t>40%</w:t>
      </w:r>
      <w:r>
        <w:rPr>
          <w:rFonts w:ascii="Calibri" w:hAnsi="宋体"/>
          <w:szCs w:val="21"/>
        </w:rPr>
        <w:t>，分值为</w:t>
      </w:r>
      <w:r>
        <w:rPr>
          <w:rFonts w:ascii="Calibri" w:hAnsi="Calibri"/>
          <w:szCs w:val="21"/>
        </w:rPr>
        <w:t>60</w:t>
      </w:r>
      <w:r>
        <w:rPr>
          <w:rFonts w:ascii="Calibri" w:hAnsi="宋体"/>
          <w:szCs w:val="21"/>
        </w:rPr>
        <w:t>分；</w:t>
      </w:r>
    </w:p>
    <w:p w14:paraId="32A27368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中国税制实务考核的比例</w:t>
      </w:r>
      <w:r>
        <w:rPr>
          <w:rFonts w:hint="eastAsia" w:ascii="Calibri" w:hAnsi="宋体"/>
          <w:szCs w:val="21"/>
          <w:lang w:val="en-US" w:eastAsia="zh-CN"/>
        </w:rPr>
        <w:t>约</w:t>
      </w:r>
      <w:r>
        <w:rPr>
          <w:rFonts w:ascii="Calibri" w:hAnsi="宋体"/>
          <w:szCs w:val="21"/>
        </w:rPr>
        <w:t>为</w:t>
      </w:r>
      <w:r>
        <w:rPr>
          <w:rFonts w:ascii="Calibri" w:hAnsi="Calibri"/>
          <w:szCs w:val="21"/>
        </w:rPr>
        <w:t>40%</w:t>
      </w:r>
      <w:r>
        <w:rPr>
          <w:rFonts w:ascii="Calibri" w:hAnsi="宋体"/>
          <w:szCs w:val="21"/>
        </w:rPr>
        <w:t>，分值为</w:t>
      </w:r>
      <w:r>
        <w:rPr>
          <w:rFonts w:ascii="Calibri" w:hAnsi="Calibri"/>
          <w:szCs w:val="21"/>
        </w:rPr>
        <w:t>60</w:t>
      </w:r>
      <w:r>
        <w:rPr>
          <w:rFonts w:ascii="Calibri" w:hAnsi="宋体"/>
          <w:szCs w:val="21"/>
        </w:rPr>
        <w:t>分；</w:t>
      </w:r>
    </w:p>
    <w:p w14:paraId="3CC8D8D5">
      <w:pPr>
        <w:spacing w:line="400" w:lineRule="exact"/>
        <w:ind w:firstLine="420" w:firstLineChars="200"/>
        <w:rPr>
          <w:rFonts w:hint="eastAsia" w:ascii="Calibri" w:hAnsi="Calibri" w:cs="Times new="/>
          <w:kern w:val="0"/>
          <w:szCs w:val="21"/>
        </w:rPr>
      </w:pPr>
      <w:r>
        <w:rPr>
          <w:rFonts w:ascii="Calibri" w:hAnsi="宋体"/>
          <w:szCs w:val="21"/>
        </w:rPr>
        <w:t>中国税收征管制度考核的比例</w:t>
      </w:r>
      <w:r>
        <w:rPr>
          <w:rFonts w:hint="eastAsia" w:ascii="Calibri" w:hAnsi="宋体"/>
          <w:szCs w:val="21"/>
          <w:lang w:val="en-US" w:eastAsia="zh-CN"/>
        </w:rPr>
        <w:t>约</w:t>
      </w:r>
      <w:r>
        <w:rPr>
          <w:rFonts w:ascii="Calibri" w:hAnsi="宋体"/>
          <w:szCs w:val="21"/>
        </w:rPr>
        <w:t>为</w:t>
      </w:r>
      <w:r>
        <w:rPr>
          <w:rFonts w:ascii="Calibri" w:hAnsi="Calibri"/>
          <w:szCs w:val="21"/>
        </w:rPr>
        <w:t>20%</w:t>
      </w:r>
      <w:r>
        <w:rPr>
          <w:rFonts w:ascii="Calibri" w:hAnsi="宋体"/>
          <w:szCs w:val="21"/>
        </w:rPr>
        <w:t>，分值为</w:t>
      </w:r>
      <w:r>
        <w:rPr>
          <w:rFonts w:ascii="Calibri" w:hAnsi="Calibri"/>
          <w:szCs w:val="21"/>
        </w:rPr>
        <w:t>30</w:t>
      </w:r>
      <w:r>
        <w:rPr>
          <w:rFonts w:ascii="Calibri" w:hAnsi="宋体"/>
          <w:szCs w:val="21"/>
        </w:rPr>
        <w:t>分。</w:t>
      </w:r>
      <w:r>
        <w:rPr>
          <w:rFonts w:ascii="Calibri" w:hAnsi="Calibri" w:cs="Times new="/>
          <w:kern w:val="0"/>
          <w:szCs w:val="21"/>
        </w:rPr>
        <w:t xml:space="preserve">   </w:t>
      </w:r>
    </w:p>
    <w:p w14:paraId="24AB8441">
      <w:pPr>
        <w:spacing w:line="400" w:lineRule="exact"/>
        <w:ind w:firstLine="420" w:firstLineChars="200"/>
        <w:rPr>
          <w:rFonts w:hint="eastAsia" w:ascii="Calibri" w:hAnsi="Calibri"/>
          <w:kern w:val="0"/>
          <w:szCs w:val="21"/>
        </w:rPr>
      </w:pPr>
    </w:p>
    <w:p w14:paraId="67084288">
      <w:pPr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四、考试内容</w:t>
      </w:r>
    </w:p>
    <w:p w14:paraId="222EC0CA">
      <w:pPr>
        <w:spacing w:line="400" w:lineRule="exact"/>
        <w:ind w:firstLine="420" w:firstLineChars="200"/>
        <w:rPr>
          <w:rFonts w:ascii="Calibri" w:hAnsi="Calibri"/>
          <w:color w:val="000000"/>
          <w:szCs w:val="21"/>
        </w:rPr>
      </w:pPr>
      <w:r>
        <w:rPr>
          <w:rFonts w:ascii="Calibri" w:hAnsi="宋体"/>
          <w:color w:val="000000"/>
          <w:szCs w:val="21"/>
        </w:rPr>
        <w:t>（一）税收学原理</w:t>
      </w:r>
    </w:p>
    <w:p w14:paraId="1C8F858C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Calibri"/>
          <w:color w:val="000000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kern w:val="0"/>
          <w:szCs w:val="21"/>
        </w:rPr>
        <w:t>税收的起源与发展</w:t>
      </w:r>
    </w:p>
    <w:p w14:paraId="67E11924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宋体"/>
          <w:kern w:val="0"/>
          <w:szCs w:val="21"/>
        </w:rPr>
        <w:t>国家、财政与税收的产生；我国税收的起源与发展；西方税收的起源与发展。</w:t>
      </w:r>
    </w:p>
    <w:p w14:paraId="4F2B8662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Calibri"/>
          <w:kern w:val="0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kern w:val="0"/>
          <w:szCs w:val="21"/>
        </w:rPr>
        <w:t>税收的涵义</w:t>
      </w:r>
    </w:p>
    <w:p w14:paraId="67D24490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宋体"/>
          <w:kern w:val="0"/>
          <w:szCs w:val="21"/>
        </w:rPr>
        <w:t>国家的公共权力与税收；税收与剩余产品价值；税收的本质；税收的特征。</w:t>
      </w:r>
    </w:p>
    <w:p w14:paraId="33CA3D83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Calibri"/>
          <w:kern w:val="0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kern w:val="0"/>
          <w:szCs w:val="21"/>
        </w:rPr>
        <w:t>税收原则</w:t>
      </w:r>
    </w:p>
    <w:p w14:paraId="5A838597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宋体"/>
          <w:kern w:val="0"/>
          <w:szCs w:val="21"/>
        </w:rPr>
        <w:t>税收的公平原则；税收的效率原则；税收的财政原则。</w:t>
      </w:r>
    </w:p>
    <w:p w14:paraId="716FA954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Calibri"/>
          <w:kern w:val="0"/>
          <w:szCs w:val="21"/>
        </w:rPr>
        <w:t>4</w:t>
      </w:r>
      <w:r>
        <w:rPr>
          <w:rFonts w:ascii="Calibri" w:hAnsi="宋体"/>
          <w:kern w:val="0"/>
          <w:szCs w:val="21"/>
        </w:rPr>
        <w:t>、税收负担及其转嫁与归宿</w:t>
      </w:r>
    </w:p>
    <w:p w14:paraId="06F95B59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宋体"/>
          <w:kern w:val="0"/>
          <w:szCs w:val="21"/>
        </w:rPr>
        <w:t>宏观税负与微观税负；影响税收负担的因素；税负转嫁与归宿的概念、方式；税负转嫁与归宿的局部均衡分析；税负转嫁与归宿的一般均衡分析；税收增长与经济增长的相关性分析。</w:t>
      </w:r>
    </w:p>
    <w:p w14:paraId="60F74022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Calibri"/>
          <w:kern w:val="0"/>
          <w:szCs w:val="21"/>
        </w:rPr>
        <w:t>5</w:t>
      </w:r>
      <w:r>
        <w:rPr>
          <w:rFonts w:ascii="Calibri" w:hAnsi="宋体"/>
          <w:kern w:val="0"/>
          <w:szCs w:val="21"/>
        </w:rPr>
        <w:t>、税收效应</w:t>
      </w:r>
    </w:p>
    <w:p w14:paraId="2F2B6508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宋体"/>
          <w:kern w:val="0"/>
          <w:szCs w:val="21"/>
        </w:rPr>
        <w:t>税收效应的概念和分类；税收的微观效应；税收的宏观效应。</w:t>
      </w:r>
    </w:p>
    <w:p w14:paraId="1AE7496F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Calibri"/>
          <w:kern w:val="0"/>
          <w:szCs w:val="21"/>
        </w:rPr>
        <w:t>6</w:t>
      </w:r>
      <w:r>
        <w:rPr>
          <w:rFonts w:ascii="Calibri" w:hAnsi="宋体"/>
          <w:kern w:val="0"/>
          <w:szCs w:val="21"/>
        </w:rPr>
        <w:t>、税制结构分析与比较</w:t>
      </w:r>
    </w:p>
    <w:p w14:paraId="4974CA44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宋体"/>
          <w:kern w:val="0"/>
          <w:szCs w:val="21"/>
        </w:rPr>
        <w:t>税制结构的概念；税制结构的分类及特点分析；税制结构的决定因素；世界各国的税制结构格局分析。</w:t>
      </w:r>
    </w:p>
    <w:p w14:paraId="72F988C5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Calibri"/>
          <w:kern w:val="0"/>
          <w:szCs w:val="21"/>
        </w:rPr>
        <w:t>7</w:t>
      </w:r>
      <w:r>
        <w:rPr>
          <w:rFonts w:ascii="Calibri" w:hAnsi="宋体"/>
          <w:kern w:val="0"/>
          <w:szCs w:val="21"/>
        </w:rPr>
        <w:t>、中央与地方的税收关系</w:t>
      </w:r>
    </w:p>
    <w:p w14:paraId="5A2A83A1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宋体"/>
          <w:kern w:val="0"/>
          <w:szCs w:val="21"/>
        </w:rPr>
        <w:t>正确处理中央与地方税收关系的一般原则；税收立法权和管理权的划分；税种的划分、税收管理机构的设置。</w:t>
      </w:r>
    </w:p>
    <w:p w14:paraId="3FAA03C1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Calibri"/>
          <w:kern w:val="0"/>
          <w:szCs w:val="21"/>
        </w:rPr>
        <w:t>8</w:t>
      </w:r>
      <w:r>
        <w:rPr>
          <w:rFonts w:ascii="Calibri" w:hAnsi="宋体"/>
          <w:kern w:val="0"/>
          <w:szCs w:val="21"/>
        </w:rPr>
        <w:t>、国际税收</w:t>
      </w:r>
    </w:p>
    <w:p w14:paraId="3BB87F73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宋体"/>
          <w:kern w:val="0"/>
          <w:szCs w:val="21"/>
        </w:rPr>
        <w:t>税收管辖权与国际税收协定；居民身份确认规则；非居民各项所得的征税权分配规则；避免双重征税的办法及外国税收抵免制度；国际逃避税及其防范措施。</w:t>
      </w:r>
    </w:p>
    <w:p w14:paraId="7C02A823">
      <w:pPr>
        <w:spacing w:line="400" w:lineRule="exact"/>
        <w:ind w:firstLine="420" w:firstLineChars="200"/>
        <w:rPr>
          <w:rFonts w:ascii="Calibri" w:hAnsi="Calibri"/>
          <w:color w:val="000000"/>
          <w:szCs w:val="21"/>
        </w:rPr>
      </w:pPr>
      <w:r>
        <w:rPr>
          <w:rFonts w:ascii="Calibri" w:hAnsi="宋体"/>
          <w:kern w:val="0"/>
          <w:szCs w:val="21"/>
        </w:rPr>
        <w:t>（二）</w:t>
      </w:r>
      <w:r>
        <w:rPr>
          <w:rFonts w:ascii="Calibri" w:hAnsi="宋体"/>
          <w:color w:val="000000"/>
          <w:szCs w:val="21"/>
        </w:rPr>
        <w:t>中国税制实务</w:t>
      </w:r>
    </w:p>
    <w:p w14:paraId="1CE606AA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Calibri"/>
          <w:color w:val="000000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kern w:val="0"/>
          <w:szCs w:val="21"/>
        </w:rPr>
        <w:t>税制要素及税收分类</w:t>
      </w:r>
    </w:p>
    <w:p w14:paraId="2D1A67B0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宋体"/>
          <w:kern w:val="0"/>
          <w:szCs w:val="21"/>
        </w:rPr>
        <w:t>纳税义务人；征税对象；税率；纳税环节和纳税期限；税收优惠；税收分类方法及其类别。</w:t>
      </w:r>
    </w:p>
    <w:p w14:paraId="0666854A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Calibri"/>
          <w:kern w:val="0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kern w:val="0"/>
          <w:szCs w:val="21"/>
        </w:rPr>
        <w:t>流转税基本理论及制度规定</w:t>
      </w:r>
    </w:p>
    <w:p w14:paraId="20E67590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宋体"/>
          <w:kern w:val="0"/>
          <w:szCs w:val="21"/>
        </w:rPr>
        <w:t>增值税基本理论及制度规定；消费税基本理论及制度规定；营业税基本理论及制度规定；关税基本理论及制度规定；车辆购置税的制度规定等。</w:t>
      </w:r>
    </w:p>
    <w:p w14:paraId="3E1C5DB4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Calibri"/>
          <w:kern w:val="0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kern w:val="0"/>
          <w:szCs w:val="21"/>
        </w:rPr>
        <w:t>所得税基本理论及制度规定</w:t>
      </w:r>
    </w:p>
    <w:p w14:paraId="30F1E57E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宋体"/>
          <w:kern w:val="0"/>
          <w:szCs w:val="21"/>
        </w:rPr>
        <w:t>企业所得税基本理论及制度规定，个人所得税基本理论及制度规定。</w:t>
      </w:r>
    </w:p>
    <w:p w14:paraId="1ACE2EDB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Calibri"/>
          <w:kern w:val="0"/>
          <w:szCs w:val="21"/>
        </w:rPr>
        <w:t>4</w:t>
      </w:r>
      <w:r>
        <w:rPr>
          <w:rFonts w:ascii="Calibri" w:hAnsi="宋体"/>
          <w:kern w:val="0"/>
          <w:szCs w:val="21"/>
        </w:rPr>
        <w:t>．财产行为税制度基本理论及其制度规定</w:t>
      </w:r>
      <w:r>
        <w:rPr>
          <w:rFonts w:ascii="Calibri" w:hAnsi="宋体"/>
          <w:color w:val="000000"/>
          <w:kern w:val="0"/>
          <w:szCs w:val="21"/>
        </w:rPr>
        <w:t>。</w:t>
      </w:r>
      <w:r>
        <w:rPr>
          <w:rFonts w:ascii="Calibri" w:hAnsi="宋体"/>
          <w:kern w:val="0"/>
          <w:szCs w:val="21"/>
        </w:rPr>
        <w:t>包括，财产行为税的性质、分类及其特点；房产税，城镇土地使用税，耕地占用税，城市维护建设税；教育费附加；印花税；资源税；土地增值税；车船税；契税等的基本理论与制度规定。</w:t>
      </w:r>
    </w:p>
    <w:p w14:paraId="4A71CEFA">
      <w:pPr>
        <w:spacing w:line="400" w:lineRule="exact"/>
        <w:ind w:firstLine="420" w:firstLineChars="200"/>
        <w:rPr>
          <w:rFonts w:ascii="Calibri" w:hAnsi="Calibri"/>
          <w:color w:val="000000"/>
          <w:kern w:val="0"/>
          <w:szCs w:val="21"/>
        </w:rPr>
      </w:pPr>
      <w:r>
        <w:rPr>
          <w:rFonts w:ascii="Calibri" w:hAnsi="宋体"/>
          <w:color w:val="000000"/>
          <w:kern w:val="0"/>
          <w:szCs w:val="21"/>
        </w:rPr>
        <w:t>（三）中国税收征管制度</w:t>
      </w:r>
    </w:p>
    <w:p w14:paraId="051D87A9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Calibri"/>
          <w:kern w:val="0"/>
          <w:szCs w:val="21"/>
        </w:rPr>
        <w:t>1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kern w:val="0"/>
          <w:szCs w:val="21"/>
        </w:rPr>
        <w:t>税收征管概论</w:t>
      </w:r>
      <w:r>
        <w:rPr>
          <w:rFonts w:ascii="Calibri" w:hAnsi="Calibri"/>
          <w:kern w:val="0"/>
          <w:szCs w:val="21"/>
        </w:rPr>
        <w:t xml:space="preserve"> </w:t>
      </w:r>
    </w:p>
    <w:p w14:paraId="3D1A5C7A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宋体"/>
          <w:kern w:val="0"/>
          <w:szCs w:val="21"/>
        </w:rPr>
        <w:t>税收征管的概念、目的与原则，税收征管制度的特点等</w:t>
      </w:r>
    </w:p>
    <w:p w14:paraId="20A9C69E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Calibri"/>
          <w:kern w:val="0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kern w:val="0"/>
          <w:szCs w:val="21"/>
        </w:rPr>
        <w:t>税收征管制度，</w:t>
      </w:r>
    </w:p>
    <w:p w14:paraId="36064B28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宋体"/>
          <w:kern w:val="0"/>
          <w:szCs w:val="21"/>
        </w:rPr>
        <w:t>税务管理制度，税款征收制度，税务稽查制度；税务行政处罚与税收刑法制度，税务争议处理制度等。</w:t>
      </w:r>
    </w:p>
    <w:p w14:paraId="61DC4335">
      <w:pPr>
        <w:spacing w:line="400" w:lineRule="exact"/>
        <w:ind w:firstLine="420" w:firstLineChars="200"/>
        <w:rPr>
          <w:rFonts w:ascii="Calibri" w:hAnsi="Calibri"/>
          <w:kern w:val="0"/>
          <w:szCs w:val="21"/>
        </w:rPr>
      </w:pPr>
      <w:r>
        <w:rPr>
          <w:rFonts w:ascii="Calibri" w:hAnsi="Calibri"/>
          <w:kern w:val="0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kern w:val="0"/>
          <w:szCs w:val="21"/>
        </w:rPr>
        <w:t>纳税服务</w:t>
      </w:r>
    </w:p>
    <w:p w14:paraId="7467B7DA">
      <w:pPr>
        <w:spacing w:line="400" w:lineRule="exact"/>
        <w:ind w:firstLine="420" w:firstLineChars="200"/>
        <w:rPr>
          <w:rFonts w:hint="eastAsia" w:ascii="Calibri" w:hAnsi="Calibri"/>
          <w:color w:val="000000"/>
          <w:szCs w:val="21"/>
        </w:rPr>
      </w:pPr>
      <w:r>
        <w:rPr>
          <w:rFonts w:ascii="Calibri" w:hAnsi="宋体"/>
          <w:kern w:val="0"/>
          <w:szCs w:val="21"/>
        </w:rPr>
        <w:t>纳税人权利保护；纳税服务机构设置，纳税服务的内容等。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 new=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442793"/>
    <w:rsid w:val="00002A70"/>
    <w:rsid w:val="00011F4E"/>
    <w:rsid w:val="00016819"/>
    <w:rsid w:val="00016A72"/>
    <w:rsid w:val="00025A0D"/>
    <w:rsid w:val="00027231"/>
    <w:rsid w:val="000338CD"/>
    <w:rsid w:val="0003638D"/>
    <w:rsid w:val="000418BF"/>
    <w:rsid w:val="00041956"/>
    <w:rsid w:val="00041D50"/>
    <w:rsid w:val="0005066D"/>
    <w:rsid w:val="000518A4"/>
    <w:rsid w:val="00056639"/>
    <w:rsid w:val="00063DF3"/>
    <w:rsid w:val="000651CA"/>
    <w:rsid w:val="00071669"/>
    <w:rsid w:val="00073997"/>
    <w:rsid w:val="0008334E"/>
    <w:rsid w:val="00087E61"/>
    <w:rsid w:val="00092656"/>
    <w:rsid w:val="00092703"/>
    <w:rsid w:val="000A6452"/>
    <w:rsid w:val="000B161F"/>
    <w:rsid w:val="000B3893"/>
    <w:rsid w:val="000B7BFC"/>
    <w:rsid w:val="000D0F4B"/>
    <w:rsid w:val="000D7DE9"/>
    <w:rsid w:val="000E4373"/>
    <w:rsid w:val="000F125D"/>
    <w:rsid w:val="000F4F49"/>
    <w:rsid w:val="000F6FA8"/>
    <w:rsid w:val="00100C9C"/>
    <w:rsid w:val="00106409"/>
    <w:rsid w:val="0011425F"/>
    <w:rsid w:val="0012305E"/>
    <w:rsid w:val="00127D30"/>
    <w:rsid w:val="001377B5"/>
    <w:rsid w:val="00140510"/>
    <w:rsid w:val="00143DD8"/>
    <w:rsid w:val="001526E0"/>
    <w:rsid w:val="00153DCB"/>
    <w:rsid w:val="00170BA4"/>
    <w:rsid w:val="0017461F"/>
    <w:rsid w:val="00186A9D"/>
    <w:rsid w:val="001907AE"/>
    <w:rsid w:val="001917EF"/>
    <w:rsid w:val="00194F19"/>
    <w:rsid w:val="00195298"/>
    <w:rsid w:val="00195D31"/>
    <w:rsid w:val="001962DE"/>
    <w:rsid w:val="001A3CEB"/>
    <w:rsid w:val="001A4ED3"/>
    <w:rsid w:val="001A640D"/>
    <w:rsid w:val="001B664E"/>
    <w:rsid w:val="001C41E1"/>
    <w:rsid w:val="001C7E24"/>
    <w:rsid w:val="001D41E3"/>
    <w:rsid w:val="001E3C8F"/>
    <w:rsid w:val="001E4FAA"/>
    <w:rsid w:val="001E512E"/>
    <w:rsid w:val="001F404F"/>
    <w:rsid w:val="001F42F9"/>
    <w:rsid w:val="002301B9"/>
    <w:rsid w:val="00230A1C"/>
    <w:rsid w:val="00232EC4"/>
    <w:rsid w:val="002417B4"/>
    <w:rsid w:val="0024183D"/>
    <w:rsid w:val="00241BFF"/>
    <w:rsid w:val="00250F1D"/>
    <w:rsid w:val="00253630"/>
    <w:rsid w:val="00260C46"/>
    <w:rsid w:val="002640EB"/>
    <w:rsid w:val="002679DF"/>
    <w:rsid w:val="00272F04"/>
    <w:rsid w:val="002746B3"/>
    <w:rsid w:val="00274E6E"/>
    <w:rsid w:val="00277FD7"/>
    <w:rsid w:val="0028105A"/>
    <w:rsid w:val="00282BE2"/>
    <w:rsid w:val="00283D33"/>
    <w:rsid w:val="00287FA0"/>
    <w:rsid w:val="00292683"/>
    <w:rsid w:val="00292E2F"/>
    <w:rsid w:val="00293100"/>
    <w:rsid w:val="002B4CB7"/>
    <w:rsid w:val="002B5FA9"/>
    <w:rsid w:val="002D1CDF"/>
    <w:rsid w:val="002D226F"/>
    <w:rsid w:val="002E0277"/>
    <w:rsid w:val="002E1A78"/>
    <w:rsid w:val="002F3CB2"/>
    <w:rsid w:val="002F4090"/>
    <w:rsid w:val="002F4483"/>
    <w:rsid w:val="002F4EA5"/>
    <w:rsid w:val="00304164"/>
    <w:rsid w:val="00320FA6"/>
    <w:rsid w:val="003229A9"/>
    <w:rsid w:val="00330482"/>
    <w:rsid w:val="00335283"/>
    <w:rsid w:val="00335297"/>
    <w:rsid w:val="00337B0B"/>
    <w:rsid w:val="00340D34"/>
    <w:rsid w:val="00356A75"/>
    <w:rsid w:val="00367106"/>
    <w:rsid w:val="0037471D"/>
    <w:rsid w:val="00383CA4"/>
    <w:rsid w:val="00390B63"/>
    <w:rsid w:val="00391D4A"/>
    <w:rsid w:val="003920EF"/>
    <w:rsid w:val="003934CE"/>
    <w:rsid w:val="00394E8D"/>
    <w:rsid w:val="00396475"/>
    <w:rsid w:val="00397269"/>
    <w:rsid w:val="003B2065"/>
    <w:rsid w:val="003B28CB"/>
    <w:rsid w:val="003B542D"/>
    <w:rsid w:val="003B78D4"/>
    <w:rsid w:val="003D0282"/>
    <w:rsid w:val="003D1722"/>
    <w:rsid w:val="003D3C43"/>
    <w:rsid w:val="003D7BD1"/>
    <w:rsid w:val="00400DEA"/>
    <w:rsid w:val="004024D8"/>
    <w:rsid w:val="0040437A"/>
    <w:rsid w:val="00407B4F"/>
    <w:rsid w:val="00410C4E"/>
    <w:rsid w:val="00410D78"/>
    <w:rsid w:val="00414A89"/>
    <w:rsid w:val="00415E3E"/>
    <w:rsid w:val="00421409"/>
    <w:rsid w:val="004231D7"/>
    <w:rsid w:val="00435ECA"/>
    <w:rsid w:val="00442793"/>
    <w:rsid w:val="004429A6"/>
    <w:rsid w:val="004503A1"/>
    <w:rsid w:val="00454C1F"/>
    <w:rsid w:val="00464A32"/>
    <w:rsid w:val="00467467"/>
    <w:rsid w:val="00470B31"/>
    <w:rsid w:val="004740EB"/>
    <w:rsid w:val="00482E2B"/>
    <w:rsid w:val="00484F6A"/>
    <w:rsid w:val="004875E3"/>
    <w:rsid w:val="00492EFC"/>
    <w:rsid w:val="00493B28"/>
    <w:rsid w:val="004A3CA0"/>
    <w:rsid w:val="004A6796"/>
    <w:rsid w:val="004B1884"/>
    <w:rsid w:val="004C639F"/>
    <w:rsid w:val="004C709E"/>
    <w:rsid w:val="004D1E07"/>
    <w:rsid w:val="004D244E"/>
    <w:rsid w:val="004D36C9"/>
    <w:rsid w:val="004D49BE"/>
    <w:rsid w:val="004E01CD"/>
    <w:rsid w:val="004E0820"/>
    <w:rsid w:val="004E2694"/>
    <w:rsid w:val="004F6872"/>
    <w:rsid w:val="004F6E33"/>
    <w:rsid w:val="005018C6"/>
    <w:rsid w:val="005129BF"/>
    <w:rsid w:val="005133AD"/>
    <w:rsid w:val="00517B1C"/>
    <w:rsid w:val="00517D0D"/>
    <w:rsid w:val="00525416"/>
    <w:rsid w:val="005339AB"/>
    <w:rsid w:val="005513F7"/>
    <w:rsid w:val="0055201F"/>
    <w:rsid w:val="00552480"/>
    <w:rsid w:val="005621A2"/>
    <w:rsid w:val="005678E6"/>
    <w:rsid w:val="00571763"/>
    <w:rsid w:val="00574397"/>
    <w:rsid w:val="005750C9"/>
    <w:rsid w:val="0057620A"/>
    <w:rsid w:val="0058256F"/>
    <w:rsid w:val="00582AF2"/>
    <w:rsid w:val="00582D97"/>
    <w:rsid w:val="00587377"/>
    <w:rsid w:val="00590C1E"/>
    <w:rsid w:val="005952E8"/>
    <w:rsid w:val="0059672F"/>
    <w:rsid w:val="005B16AC"/>
    <w:rsid w:val="005B1B7B"/>
    <w:rsid w:val="005B2B04"/>
    <w:rsid w:val="005B3C4D"/>
    <w:rsid w:val="005B5FEB"/>
    <w:rsid w:val="005C0498"/>
    <w:rsid w:val="005C1B8C"/>
    <w:rsid w:val="005C22F7"/>
    <w:rsid w:val="005C3358"/>
    <w:rsid w:val="005D09C3"/>
    <w:rsid w:val="005D337F"/>
    <w:rsid w:val="005E1B09"/>
    <w:rsid w:val="005E39EF"/>
    <w:rsid w:val="005E59DB"/>
    <w:rsid w:val="005F5B73"/>
    <w:rsid w:val="00601853"/>
    <w:rsid w:val="00602001"/>
    <w:rsid w:val="00606932"/>
    <w:rsid w:val="00613FBB"/>
    <w:rsid w:val="006149CD"/>
    <w:rsid w:val="00615DF7"/>
    <w:rsid w:val="00630134"/>
    <w:rsid w:val="006367DF"/>
    <w:rsid w:val="00636AC8"/>
    <w:rsid w:val="006371DA"/>
    <w:rsid w:val="00640119"/>
    <w:rsid w:val="00641AC6"/>
    <w:rsid w:val="00647F55"/>
    <w:rsid w:val="00652255"/>
    <w:rsid w:val="00655397"/>
    <w:rsid w:val="00655F5E"/>
    <w:rsid w:val="00656398"/>
    <w:rsid w:val="006603CC"/>
    <w:rsid w:val="00683EA9"/>
    <w:rsid w:val="00692A03"/>
    <w:rsid w:val="00694BFA"/>
    <w:rsid w:val="006953FB"/>
    <w:rsid w:val="006A3AC3"/>
    <w:rsid w:val="006A65EE"/>
    <w:rsid w:val="006C4E93"/>
    <w:rsid w:val="006D422C"/>
    <w:rsid w:val="006D4453"/>
    <w:rsid w:val="006D768F"/>
    <w:rsid w:val="006E1A28"/>
    <w:rsid w:val="006E733F"/>
    <w:rsid w:val="006F04FE"/>
    <w:rsid w:val="006F2A7B"/>
    <w:rsid w:val="006F6C38"/>
    <w:rsid w:val="00700F09"/>
    <w:rsid w:val="00702637"/>
    <w:rsid w:val="00704FE0"/>
    <w:rsid w:val="007156B8"/>
    <w:rsid w:val="00725FE4"/>
    <w:rsid w:val="007364B0"/>
    <w:rsid w:val="00746A35"/>
    <w:rsid w:val="00747646"/>
    <w:rsid w:val="00750022"/>
    <w:rsid w:val="00752663"/>
    <w:rsid w:val="00754349"/>
    <w:rsid w:val="007546A6"/>
    <w:rsid w:val="00755E56"/>
    <w:rsid w:val="0076121E"/>
    <w:rsid w:val="00765133"/>
    <w:rsid w:val="007710C6"/>
    <w:rsid w:val="0077775B"/>
    <w:rsid w:val="007900A1"/>
    <w:rsid w:val="00794AEB"/>
    <w:rsid w:val="00797156"/>
    <w:rsid w:val="007A02FA"/>
    <w:rsid w:val="007C6B13"/>
    <w:rsid w:val="007D4960"/>
    <w:rsid w:val="007E1EED"/>
    <w:rsid w:val="007E64D4"/>
    <w:rsid w:val="007E6F63"/>
    <w:rsid w:val="007E7E94"/>
    <w:rsid w:val="007F67A9"/>
    <w:rsid w:val="00807778"/>
    <w:rsid w:val="008103A1"/>
    <w:rsid w:val="008168D7"/>
    <w:rsid w:val="00816AE3"/>
    <w:rsid w:val="00816DB4"/>
    <w:rsid w:val="008261B9"/>
    <w:rsid w:val="008305A5"/>
    <w:rsid w:val="00832C03"/>
    <w:rsid w:val="00834A86"/>
    <w:rsid w:val="0083691F"/>
    <w:rsid w:val="00841482"/>
    <w:rsid w:val="00846014"/>
    <w:rsid w:val="0085017D"/>
    <w:rsid w:val="00853C94"/>
    <w:rsid w:val="00856B1A"/>
    <w:rsid w:val="00860738"/>
    <w:rsid w:val="0086234A"/>
    <w:rsid w:val="00877D8F"/>
    <w:rsid w:val="00881405"/>
    <w:rsid w:val="00892E63"/>
    <w:rsid w:val="00893794"/>
    <w:rsid w:val="008971CE"/>
    <w:rsid w:val="00897FD7"/>
    <w:rsid w:val="008A00A7"/>
    <w:rsid w:val="008A4676"/>
    <w:rsid w:val="008A47F8"/>
    <w:rsid w:val="008A68A0"/>
    <w:rsid w:val="008B6B68"/>
    <w:rsid w:val="008B7DB5"/>
    <w:rsid w:val="008C0B7B"/>
    <w:rsid w:val="008D2DEC"/>
    <w:rsid w:val="008D3508"/>
    <w:rsid w:val="008E26D9"/>
    <w:rsid w:val="008E3FDF"/>
    <w:rsid w:val="008E798C"/>
    <w:rsid w:val="008F43F5"/>
    <w:rsid w:val="008F62DE"/>
    <w:rsid w:val="00900B9A"/>
    <w:rsid w:val="00903B41"/>
    <w:rsid w:val="009051CF"/>
    <w:rsid w:val="009069F6"/>
    <w:rsid w:val="00906F2B"/>
    <w:rsid w:val="009079CF"/>
    <w:rsid w:val="00910A5D"/>
    <w:rsid w:val="00911ACD"/>
    <w:rsid w:val="00917FA8"/>
    <w:rsid w:val="00920FB2"/>
    <w:rsid w:val="009212D3"/>
    <w:rsid w:val="00921E30"/>
    <w:rsid w:val="0092247E"/>
    <w:rsid w:val="00924285"/>
    <w:rsid w:val="00934940"/>
    <w:rsid w:val="00935C80"/>
    <w:rsid w:val="009445F0"/>
    <w:rsid w:val="00947C9B"/>
    <w:rsid w:val="00952A56"/>
    <w:rsid w:val="00963CEB"/>
    <w:rsid w:val="00971B7A"/>
    <w:rsid w:val="00971E3D"/>
    <w:rsid w:val="00973EC8"/>
    <w:rsid w:val="00976E80"/>
    <w:rsid w:val="00980C2E"/>
    <w:rsid w:val="00991369"/>
    <w:rsid w:val="00996196"/>
    <w:rsid w:val="009A1520"/>
    <w:rsid w:val="009B17ED"/>
    <w:rsid w:val="009C4C3D"/>
    <w:rsid w:val="009D48D1"/>
    <w:rsid w:val="009E300F"/>
    <w:rsid w:val="009E48F0"/>
    <w:rsid w:val="009F28DF"/>
    <w:rsid w:val="009F2FA1"/>
    <w:rsid w:val="009F658E"/>
    <w:rsid w:val="00A02D0E"/>
    <w:rsid w:val="00A0643E"/>
    <w:rsid w:val="00A1168F"/>
    <w:rsid w:val="00A229A0"/>
    <w:rsid w:val="00A328E6"/>
    <w:rsid w:val="00A33DC6"/>
    <w:rsid w:val="00A362A7"/>
    <w:rsid w:val="00A36758"/>
    <w:rsid w:val="00A71553"/>
    <w:rsid w:val="00A97ABF"/>
    <w:rsid w:val="00AA0A96"/>
    <w:rsid w:val="00AB035F"/>
    <w:rsid w:val="00AB186B"/>
    <w:rsid w:val="00AB1EE6"/>
    <w:rsid w:val="00AB1FC5"/>
    <w:rsid w:val="00AD2E33"/>
    <w:rsid w:val="00AD2F7B"/>
    <w:rsid w:val="00AD56AE"/>
    <w:rsid w:val="00AD73B1"/>
    <w:rsid w:val="00AE1FCF"/>
    <w:rsid w:val="00AE23B1"/>
    <w:rsid w:val="00AE3E59"/>
    <w:rsid w:val="00AE4108"/>
    <w:rsid w:val="00AE6CC3"/>
    <w:rsid w:val="00AE7C9A"/>
    <w:rsid w:val="00AF0965"/>
    <w:rsid w:val="00AF1343"/>
    <w:rsid w:val="00AF5A2F"/>
    <w:rsid w:val="00AF65A7"/>
    <w:rsid w:val="00B077ED"/>
    <w:rsid w:val="00B20294"/>
    <w:rsid w:val="00B233C7"/>
    <w:rsid w:val="00B258F3"/>
    <w:rsid w:val="00B37989"/>
    <w:rsid w:val="00B41AB9"/>
    <w:rsid w:val="00B5492E"/>
    <w:rsid w:val="00B561F4"/>
    <w:rsid w:val="00B569A1"/>
    <w:rsid w:val="00B57154"/>
    <w:rsid w:val="00B57B39"/>
    <w:rsid w:val="00B65514"/>
    <w:rsid w:val="00B6743F"/>
    <w:rsid w:val="00B674DD"/>
    <w:rsid w:val="00B67B61"/>
    <w:rsid w:val="00B77576"/>
    <w:rsid w:val="00B8040C"/>
    <w:rsid w:val="00B80603"/>
    <w:rsid w:val="00B82C02"/>
    <w:rsid w:val="00B847A8"/>
    <w:rsid w:val="00B97B63"/>
    <w:rsid w:val="00BB0BA7"/>
    <w:rsid w:val="00BD405A"/>
    <w:rsid w:val="00BD60CF"/>
    <w:rsid w:val="00BF63A2"/>
    <w:rsid w:val="00BF68A3"/>
    <w:rsid w:val="00BF6ABA"/>
    <w:rsid w:val="00C04836"/>
    <w:rsid w:val="00C131AF"/>
    <w:rsid w:val="00C13AA6"/>
    <w:rsid w:val="00C15FB6"/>
    <w:rsid w:val="00C17C11"/>
    <w:rsid w:val="00C2528D"/>
    <w:rsid w:val="00C27A46"/>
    <w:rsid w:val="00C42E78"/>
    <w:rsid w:val="00C44B32"/>
    <w:rsid w:val="00C5240B"/>
    <w:rsid w:val="00C55AE9"/>
    <w:rsid w:val="00C5707D"/>
    <w:rsid w:val="00C57317"/>
    <w:rsid w:val="00C57888"/>
    <w:rsid w:val="00C64E22"/>
    <w:rsid w:val="00C6574B"/>
    <w:rsid w:val="00C76373"/>
    <w:rsid w:val="00C770BE"/>
    <w:rsid w:val="00C845D7"/>
    <w:rsid w:val="00C95B37"/>
    <w:rsid w:val="00C95FA3"/>
    <w:rsid w:val="00CB6D82"/>
    <w:rsid w:val="00CC082E"/>
    <w:rsid w:val="00CC6A3A"/>
    <w:rsid w:val="00CC6BFF"/>
    <w:rsid w:val="00CC6E24"/>
    <w:rsid w:val="00CD00D7"/>
    <w:rsid w:val="00CD2FB0"/>
    <w:rsid w:val="00CE4BA3"/>
    <w:rsid w:val="00CE62CA"/>
    <w:rsid w:val="00CE75A6"/>
    <w:rsid w:val="00CF0585"/>
    <w:rsid w:val="00CF6DFB"/>
    <w:rsid w:val="00D00D1E"/>
    <w:rsid w:val="00D0249A"/>
    <w:rsid w:val="00D04F94"/>
    <w:rsid w:val="00D070D1"/>
    <w:rsid w:val="00D10A2F"/>
    <w:rsid w:val="00D203CA"/>
    <w:rsid w:val="00D212D4"/>
    <w:rsid w:val="00D44492"/>
    <w:rsid w:val="00D44BF5"/>
    <w:rsid w:val="00D45FB6"/>
    <w:rsid w:val="00D56C48"/>
    <w:rsid w:val="00D6314F"/>
    <w:rsid w:val="00D63B69"/>
    <w:rsid w:val="00D66A32"/>
    <w:rsid w:val="00D706BA"/>
    <w:rsid w:val="00D76EF5"/>
    <w:rsid w:val="00D77CBE"/>
    <w:rsid w:val="00D8139E"/>
    <w:rsid w:val="00D87EDD"/>
    <w:rsid w:val="00D93909"/>
    <w:rsid w:val="00D93B9B"/>
    <w:rsid w:val="00DA2BE2"/>
    <w:rsid w:val="00DB29FA"/>
    <w:rsid w:val="00DB33E8"/>
    <w:rsid w:val="00DC7833"/>
    <w:rsid w:val="00DD38AA"/>
    <w:rsid w:val="00DD3AC5"/>
    <w:rsid w:val="00DD4ED3"/>
    <w:rsid w:val="00DD5151"/>
    <w:rsid w:val="00DE219C"/>
    <w:rsid w:val="00DF05AB"/>
    <w:rsid w:val="00DF0A11"/>
    <w:rsid w:val="00E043DA"/>
    <w:rsid w:val="00E105D3"/>
    <w:rsid w:val="00E11531"/>
    <w:rsid w:val="00E12134"/>
    <w:rsid w:val="00E13212"/>
    <w:rsid w:val="00E15880"/>
    <w:rsid w:val="00E360E1"/>
    <w:rsid w:val="00E45065"/>
    <w:rsid w:val="00E54286"/>
    <w:rsid w:val="00E56C3B"/>
    <w:rsid w:val="00E65CC7"/>
    <w:rsid w:val="00E92F88"/>
    <w:rsid w:val="00E93A9D"/>
    <w:rsid w:val="00EA1C81"/>
    <w:rsid w:val="00EA2A61"/>
    <w:rsid w:val="00EA5A66"/>
    <w:rsid w:val="00EB0E8E"/>
    <w:rsid w:val="00EB0EF4"/>
    <w:rsid w:val="00EB2FF6"/>
    <w:rsid w:val="00EC2F2D"/>
    <w:rsid w:val="00ED60F1"/>
    <w:rsid w:val="00EE0472"/>
    <w:rsid w:val="00EE3BDE"/>
    <w:rsid w:val="00EE482F"/>
    <w:rsid w:val="00EF4668"/>
    <w:rsid w:val="00F0124E"/>
    <w:rsid w:val="00F04FE9"/>
    <w:rsid w:val="00F07FC5"/>
    <w:rsid w:val="00F20D47"/>
    <w:rsid w:val="00F24F86"/>
    <w:rsid w:val="00F33080"/>
    <w:rsid w:val="00F37C1A"/>
    <w:rsid w:val="00F4021D"/>
    <w:rsid w:val="00F41F7C"/>
    <w:rsid w:val="00F43171"/>
    <w:rsid w:val="00F55CF7"/>
    <w:rsid w:val="00F60325"/>
    <w:rsid w:val="00F751F7"/>
    <w:rsid w:val="00F75C9F"/>
    <w:rsid w:val="00F77EFE"/>
    <w:rsid w:val="00F82C90"/>
    <w:rsid w:val="00F922BD"/>
    <w:rsid w:val="00F92E73"/>
    <w:rsid w:val="00FA3BDC"/>
    <w:rsid w:val="00FA6676"/>
    <w:rsid w:val="00FB78B8"/>
    <w:rsid w:val="00FC2F59"/>
    <w:rsid w:val="00FD0DD4"/>
    <w:rsid w:val="00FD2BC7"/>
    <w:rsid w:val="00FD4BA5"/>
    <w:rsid w:val="00FE6DE8"/>
    <w:rsid w:val="00FF2562"/>
    <w:rsid w:val="00FF2F18"/>
    <w:rsid w:val="00FF3F13"/>
    <w:rsid w:val="00FF4E37"/>
    <w:rsid w:val="07E575C3"/>
    <w:rsid w:val="0A584BA2"/>
    <w:rsid w:val="12523D5D"/>
    <w:rsid w:val="32AF26CC"/>
    <w:rsid w:val="667670DF"/>
    <w:rsid w:val="74EA2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type_blue_6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1395</Words>
  <Characters>1411</Characters>
  <Lines>10</Lines>
  <Paragraphs>2</Paragraphs>
  <TotalTime>0</TotalTime>
  <ScaleCrop>false</ScaleCrop>
  <LinksUpToDate>false</LinksUpToDate>
  <CharactersWithSpaces>1417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2010-09-22T01:50:00Z</dcterms:created>
  <dc:creator>山东大学研究生招生办公室; lin</dc:creator>
  <cp:keywords>2011年硕士研究生入学考试考试大纲</cp:keywords>
  <cp:lastModifiedBy>vertesyuan</cp:lastModifiedBy>
  <dcterms:modified xsi:type="dcterms:W3CDTF">2024-10-11T00:54:55Z</dcterms:modified>
  <dc:title>2010年厦门大学税务专业硕士研究生统一入学考试税收学考试大纲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042AF35B6B27427AA42F6D5F4D305C11_13</vt:lpwstr>
  </property>
</Properties>
</file>