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"/>
        <w:spacing w:before="168" w:line="353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7D7D7D"/>
          <w:spacing w:val="-14"/>
          <w:w w:val="94"/>
          <w:position w:val="-1"/>
        </w:rPr>
        <w:t>昆明理工大学硕士研究生入学考试</w:t>
      </w:r>
      <w:r>
        <w:rPr>
          <w:rFonts w:ascii="Microsoft YaHei" w:hAnsi="Microsoft YaHei" w:eastAsia="Microsoft YaHei" w:cs="Microsoft YaHei"/>
          <w:sz w:val="35"/>
          <w:szCs w:val="35"/>
          <w:color w:val="9D9D9D"/>
          <w:spacing w:val="-14"/>
          <w:w w:val="94"/>
          <w:position w:val="-1"/>
        </w:rPr>
        <w:t>《内燃机原理》</w:t>
      </w:r>
      <w:r>
        <w:rPr>
          <w:rFonts w:ascii="Microsoft YaHei" w:hAnsi="Microsoft YaHei" w:eastAsia="Microsoft YaHei" w:cs="Microsoft YaHei"/>
          <w:sz w:val="35"/>
          <w:szCs w:val="35"/>
          <w:color w:val="838383"/>
          <w:spacing w:val="-14"/>
          <w:w w:val="94"/>
          <w:position w:val="-1"/>
        </w:rPr>
        <w:t>考试大纲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222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考试形式和试卷结构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565"/>
        <w:spacing w:before="142" w:line="332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ECECEC"/>
          <w:spacing w:val="-10"/>
          <w:w w:val="89"/>
          <w:position w:val="-2"/>
        </w:rPr>
        <w:t>一、试卷满分及考试时间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463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试卷满分为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150</w:t>
      </w:r>
      <w:r>
        <w:rPr>
          <w:rFonts w:ascii="FangSong" w:hAnsi="FangSong" w:eastAsia="FangSong" w:cs="FangSong"/>
          <w:sz w:val="28"/>
          <w:szCs w:val="28"/>
          <w:spacing w:val="-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分，考试时间为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180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分钟。</w:t>
      </w:r>
    </w:p>
    <w:p>
      <w:pPr>
        <w:spacing w:before="81"/>
        <w:rPr/>
      </w:pPr>
      <w:r/>
    </w:p>
    <w:tbl>
      <w:tblPr>
        <w:tblStyle w:val="TableNormal"/>
        <w:tblW w:w="8196" w:type="dxa"/>
        <w:tblInd w:w="1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861"/>
        <w:gridCol w:w="1335"/>
      </w:tblGrid>
      <w:tr>
        <w:trPr>
          <w:trHeight w:val="1841" w:hRule="atLeast"/>
        </w:trPr>
        <w:tc>
          <w:tcPr>
            <w:tcW w:w="6861" w:type="dxa"/>
            <w:vAlign w:val="top"/>
          </w:tcPr>
          <w:p>
            <w:pPr>
              <w:ind w:left="440"/>
              <w:spacing w:line="329" w:lineRule="exact"/>
              <w:rPr>
                <w:rFonts w:ascii="Microsoft YaHei" w:hAnsi="Microsoft YaHei" w:eastAsia="Microsoft YaHei" w:cs="Microsoft YaHei"/>
                <w:sz w:val="32"/>
                <w:szCs w:val="32"/>
              </w:rPr>
            </w:pPr>
            <w:r>
              <w:rPr>
                <w:rFonts w:ascii="Microsoft YaHei" w:hAnsi="Microsoft YaHei" w:eastAsia="Microsoft YaHei" w:cs="Microsoft YaHei"/>
                <w:sz w:val="32"/>
                <w:szCs w:val="32"/>
                <w:color w:val="909090"/>
                <w:spacing w:val="-13"/>
                <w:w w:val="94"/>
                <w:position w:val="-1"/>
              </w:rPr>
              <w:t>二、</w:t>
            </w:r>
            <w:r>
              <w:rPr>
                <w:rFonts w:ascii="Microsoft YaHei" w:hAnsi="Microsoft YaHei" w:eastAsia="Microsoft YaHei" w:cs="Microsoft YaHei"/>
                <w:sz w:val="32"/>
                <w:szCs w:val="32"/>
                <w:color w:val="6D6D6D"/>
                <w:spacing w:val="-13"/>
                <w:w w:val="94"/>
                <w:position w:val="-1"/>
              </w:rPr>
              <w:t>答题方式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339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答题方式为闭卷、笔试。</w:t>
            </w:r>
          </w:p>
          <w:p>
            <w:pPr>
              <w:ind w:left="435"/>
              <w:spacing w:before="324" w:line="332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B3B3B3"/>
                <w:spacing w:val="-18"/>
                <w:w w:val="92"/>
                <w:position w:val="-2"/>
              </w:rPr>
              <w:t>三、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7D7D7D"/>
                <w:spacing w:val="-18"/>
                <w:w w:val="92"/>
                <w:position w:val="-2"/>
              </w:rPr>
              <w:t>试卷的内容结构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7" w:hRule="atLeast"/>
        </w:trPr>
        <w:tc>
          <w:tcPr>
            <w:tcW w:w="6861" w:type="dxa"/>
            <w:vAlign w:val="top"/>
          </w:tcPr>
          <w:p>
            <w:pPr>
              <w:ind w:left="28"/>
              <w:spacing w:before="140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Arial" w:hAnsi="Arial" w:eastAsia="Arial" w:cs="Arial"/>
                <w:sz w:val="33"/>
                <w:szCs w:val="33"/>
                <w:color w:val="BFBFBF"/>
                <w:spacing w:val="-17"/>
                <w:w w:val="89"/>
                <w:position w:val="-2"/>
              </w:rPr>
              <w:t>1</w:t>
            </w:r>
            <w:r>
              <w:rPr>
                <w:rFonts w:ascii="Arial" w:hAnsi="Arial" w:eastAsia="Arial" w:cs="Arial"/>
                <w:sz w:val="33"/>
                <w:szCs w:val="33"/>
                <w:color w:val="BFBFBF"/>
                <w:spacing w:val="40"/>
                <w:position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F9F9F"/>
                <w:spacing w:val="-17"/>
                <w:w w:val="89"/>
                <w:position w:val="-2"/>
              </w:rPr>
              <w:t>内燃机动力经济性指标与影响因素</w:t>
            </w:r>
          </w:p>
        </w:tc>
        <w:tc>
          <w:tcPr>
            <w:tcW w:w="1335" w:type="dxa"/>
            <w:vAlign w:val="top"/>
          </w:tcPr>
          <w:p>
            <w:pPr>
              <w:ind w:right="20"/>
              <w:spacing w:before="170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10%</w:t>
            </w:r>
          </w:p>
        </w:tc>
      </w:tr>
      <w:tr>
        <w:trPr>
          <w:trHeight w:val="618" w:hRule="atLeast"/>
        </w:trPr>
        <w:tc>
          <w:tcPr>
            <w:tcW w:w="6861" w:type="dxa"/>
            <w:vAlign w:val="top"/>
          </w:tcPr>
          <w:p>
            <w:pPr>
              <w:ind w:left="2"/>
              <w:spacing w:before="141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99999"/>
                <w:spacing w:val="-10"/>
                <w:w w:val="90"/>
                <w:position w:val="-1"/>
              </w:rPr>
              <w:t>2内燃机燃料理化特性与热化学</w:t>
            </w:r>
          </w:p>
        </w:tc>
        <w:tc>
          <w:tcPr>
            <w:tcW w:w="1335" w:type="dxa"/>
            <w:vAlign w:val="top"/>
          </w:tcPr>
          <w:p>
            <w:pPr>
              <w:spacing w:before="169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10%</w:t>
            </w:r>
          </w:p>
        </w:tc>
      </w:tr>
      <w:tr>
        <w:trPr>
          <w:trHeight w:val="617" w:hRule="atLeast"/>
        </w:trPr>
        <w:tc>
          <w:tcPr>
            <w:tcW w:w="6861" w:type="dxa"/>
            <w:vAlign w:val="top"/>
          </w:tcPr>
          <w:p>
            <w:pPr>
              <w:ind w:left="7"/>
              <w:spacing w:before="140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Arial" w:hAnsi="Arial" w:eastAsia="Arial" w:cs="Arial"/>
                <w:sz w:val="33"/>
                <w:szCs w:val="33"/>
                <w:color w:val="919191"/>
                <w:spacing w:val="-13"/>
                <w:w w:val="88"/>
                <w:position w:val="-2"/>
              </w:rPr>
              <w:t>3</w:t>
            </w:r>
            <w:r>
              <w:rPr>
                <w:rFonts w:ascii="Arial" w:hAnsi="Arial" w:eastAsia="Arial" w:cs="Arial"/>
                <w:sz w:val="33"/>
                <w:szCs w:val="33"/>
                <w:color w:val="919191"/>
                <w:spacing w:val="52"/>
                <w:position w:val="-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99999"/>
                <w:spacing w:val="-13"/>
                <w:w w:val="88"/>
                <w:position w:val="-2"/>
              </w:rPr>
              <w:t>内燃机工作循环与能量利用</w:t>
            </w:r>
          </w:p>
        </w:tc>
        <w:tc>
          <w:tcPr>
            <w:tcW w:w="1335" w:type="dxa"/>
            <w:vAlign w:val="top"/>
          </w:tcPr>
          <w:p>
            <w:pPr>
              <w:ind w:right="20"/>
              <w:spacing w:before="168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10%</w:t>
            </w:r>
          </w:p>
        </w:tc>
      </w:tr>
      <w:tr>
        <w:trPr>
          <w:trHeight w:val="617" w:hRule="atLeast"/>
        </w:trPr>
        <w:tc>
          <w:tcPr>
            <w:tcW w:w="6861" w:type="dxa"/>
            <w:vAlign w:val="top"/>
          </w:tcPr>
          <w:p>
            <w:pPr>
              <w:spacing w:before="140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Arial" w:hAnsi="Arial" w:eastAsia="Arial" w:cs="Arial"/>
                <w:sz w:val="33"/>
                <w:szCs w:val="33"/>
                <w:color w:val="8C8C8C"/>
                <w:spacing w:val="-9"/>
                <w:w w:val="88"/>
                <w:position w:val="-1"/>
              </w:rPr>
              <w:t>4</w:t>
            </w:r>
            <w:r>
              <w:rPr>
                <w:rFonts w:ascii="Arial" w:hAnsi="Arial" w:eastAsia="Arial" w:cs="Arial"/>
                <w:sz w:val="33"/>
                <w:szCs w:val="33"/>
                <w:color w:val="8C8C8C"/>
                <w:spacing w:val="28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C9C9C"/>
                <w:spacing w:val="-9"/>
                <w:w w:val="88"/>
                <w:position w:val="-1"/>
              </w:rPr>
              <w:t>内燃机换气过程与进气充量</w:t>
            </w:r>
          </w:p>
        </w:tc>
        <w:tc>
          <w:tcPr>
            <w:tcW w:w="1335" w:type="dxa"/>
            <w:vAlign w:val="top"/>
          </w:tcPr>
          <w:p>
            <w:pPr>
              <w:ind w:right="20"/>
              <w:spacing w:before="168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10%</w:t>
            </w:r>
          </w:p>
        </w:tc>
      </w:tr>
      <w:tr>
        <w:trPr>
          <w:trHeight w:val="617" w:hRule="atLeast"/>
        </w:trPr>
        <w:tc>
          <w:tcPr>
            <w:tcW w:w="6861" w:type="dxa"/>
            <w:vAlign w:val="top"/>
          </w:tcPr>
          <w:p>
            <w:pPr>
              <w:ind w:left="9"/>
              <w:spacing w:before="141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Arial" w:hAnsi="Arial" w:eastAsia="Arial" w:cs="Arial"/>
                <w:sz w:val="33"/>
                <w:szCs w:val="33"/>
                <w:color w:val="8D8D8D"/>
                <w:spacing w:val="-11"/>
                <w:w w:val="88"/>
                <w:position w:val="-1"/>
              </w:rPr>
              <w:t>5</w:t>
            </w:r>
            <w:r>
              <w:rPr>
                <w:rFonts w:ascii="Arial" w:hAnsi="Arial" w:eastAsia="Arial" w:cs="Arial"/>
                <w:sz w:val="33"/>
                <w:szCs w:val="33"/>
                <w:color w:val="8D8D8D"/>
                <w:spacing w:val="51"/>
                <w:position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E9E9E"/>
                <w:spacing w:val="-11"/>
                <w:w w:val="88"/>
                <w:position w:val="-1"/>
              </w:rPr>
              <w:t>内燃机混合气形成与燃烧</w:t>
            </w:r>
          </w:p>
        </w:tc>
        <w:tc>
          <w:tcPr>
            <w:tcW w:w="1335" w:type="dxa"/>
            <w:vAlign w:val="top"/>
          </w:tcPr>
          <w:p>
            <w:pPr>
              <w:ind w:left="231"/>
              <w:spacing w:before="170" w:line="221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15%</w:t>
            </w:r>
          </w:p>
        </w:tc>
      </w:tr>
      <w:tr>
        <w:trPr>
          <w:trHeight w:val="617" w:hRule="atLeast"/>
        </w:trPr>
        <w:tc>
          <w:tcPr>
            <w:tcW w:w="6861" w:type="dxa"/>
            <w:vAlign w:val="top"/>
          </w:tcPr>
          <w:p>
            <w:pPr>
              <w:ind w:left="7"/>
              <w:spacing w:before="141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979797"/>
                <w:spacing w:val="-11"/>
                <w:w w:val="90"/>
                <w:position w:val="-1"/>
              </w:rPr>
              <w:t>6内燃机有害物排放生成与控制</w:t>
            </w:r>
          </w:p>
        </w:tc>
        <w:tc>
          <w:tcPr>
            <w:tcW w:w="1335" w:type="dxa"/>
            <w:vAlign w:val="top"/>
          </w:tcPr>
          <w:p>
            <w:pPr>
              <w:spacing w:before="170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15%</w:t>
            </w:r>
          </w:p>
        </w:tc>
      </w:tr>
      <w:tr>
        <w:trPr>
          <w:trHeight w:val="618" w:hRule="atLeast"/>
        </w:trPr>
        <w:tc>
          <w:tcPr>
            <w:tcW w:w="6861" w:type="dxa"/>
            <w:vAlign w:val="top"/>
          </w:tcPr>
          <w:p>
            <w:pPr>
              <w:ind w:left="7"/>
              <w:spacing w:before="141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ACACAC"/>
                <w:spacing w:val="-12"/>
                <w:w w:val="91"/>
                <w:position w:val="-2"/>
              </w:rPr>
              <w:t>7内燃机运行特性与整车匹配</w:t>
            </w:r>
          </w:p>
        </w:tc>
        <w:tc>
          <w:tcPr>
            <w:tcW w:w="1335" w:type="dxa"/>
            <w:vAlign w:val="top"/>
          </w:tcPr>
          <w:p>
            <w:pPr>
              <w:ind w:right="20"/>
              <w:spacing w:before="170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15%</w:t>
            </w:r>
          </w:p>
        </w:tc>
      </w:tr>
      <w:tr>
        <w:trPr>
          <w:trHeight w:val="618" w:hRule="atLeast"/>
        </w:trPr>
        <w:tc>
          <w:tcPr>
            <w:tcW w:w="6861" w:type="dxa"/>
            <w:vAlign w:val="top"/>
          </w:tcPr>
          <w:p>
            <w:pPr>
              <w:ind w:left="11"/>
              <w:spacing w:before="141" w:line="335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848484"/>
                <w:spacing w:val="-15"/>
                <w:w w:val="93"/>
                <w:position w:val="-1"/>
              </w:rPr>
              <w:t>8混合动力专用内燃机</w:t>
            </w:r>
          </w:p>
        </w:tc>
        <w:tc>
          <w:tcPr>
            <w:tcW w:w="1335" w:type="dxa"/>
            <w:vAlign w:val="top"/>
          </w:tcPr>
          <w:p>
            <w:pPr>
              <w:ind w:right="23"/>
              <w:spacing w:before="169" w:line="221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约占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15%</w:t>
            </w:r>
          </w:p>
        </w:tc>
      </w:tr>
      <w:tr>
        <w:trPr>
          <w:trHeight w:val="1690" w:hRule="atLeast"/>
        </w:trPr>
        <w:tc>
          <w:tcPr>
            <w:tcW w:w="6861" w:type="dxa"/>
            <w:vAlign w:val="top"/>
          </w:tcPr>
          <w:p>
            <w:pPr>
              <w:ind w:left="563"/>
              <w:spacing w:before="141" w:line="332" w:lineRule="exact"/>
              <w:rPr>
                <w:rFonts w:ascii="Microsoft YaHei" w:hAnsi="Microsoft YaHei" w:eastAsia="Microsoft YaHei" w:cs="Microsoft YaHei"/>
                <w:sz w:val="33"/>
                <w:szCs w:val="33"/>
              </w:rPr>
            </w:pPr>
            <w:r>
              <w:rPr>
                <w:rFonts w:ascii="Microsoft YaHei" w:hAnsi="Microsoft YaHei" w:eastAsia="Microsoft YaHei" w:cs="Microsoft YaHei"/>
                <w:sz w:val="33"/>
                <w:szCs w:val="33"/>
                <w:color w:val="8A8A8A"/>
                <w:spacing w:val="-16"/>
                <w:w w:val="90"/>
                <w:position w:val="-2"/>
              </w:rPr>
              <w:t>四、</w:t>
            </w:r>
            <w:r>
              <w:rPr>
                <w:rFonts w:ascii="Microsoft YaHei" w:hAnsi="Microsoft YaHei" w:eastAsia="Microsoft YaHei" w:cs="Microsoft YaHei"/>
                <w:sz w:val="33"/>
                <w:szCs w:val="33"/>
                <w:color w:val="808080"/>
                <w:spacing w:val="-16"/>
                <w:w w:val="90"/>
                <w:position w:val="-2"/>
              </w:rPr>
              <w:t>试卷的题型结构</w:t>
            </w:r>
          </w:p>
          <w:p>
            <w:pPr>
              <w:ind w:left="324"/>
              <w:spacing w:before="31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试卷题型结构为：</w:t>
            </w:r>
          </w:p>
          <w:p>
            <w:pPr>
              <w:ind w:left="330"/>
              <w:spacing w:before="278" w:line="18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填空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名词解释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简答题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论述题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计算题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40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681"/>
        <w:spacing w:before="5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第二部分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2"/>
        </w:rPr>
        <w:t>考察的知识及范围</w:t>
      </w:r>
    </w:p>
    <w:p>
      <w:pPr>
        <w:ind w:left="3"/>
        <w:spacing w:before="199" w:line="297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CBCBCB"/>
          <w:spacing w:val="-11"/>
          <w:w w:val="89"/>
          <w:position w:val="-1"/>
        </w:rPr>
        <w:t>一、考察的知识</w:t>
      </w:r>
    </w:p>
    <w:p>
      <w:pPr>
        <w:pStyle w:val="BodyText"/>
        <w:ind w:left="54"/>
        <w:spacing w:before="144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、内燃机工作过程，各参数对工作过程的影响。</w:t>
      </w:r>
    </w:p>
    <w:p>
      <w:pPr>
        <w:pStyle w:val="BodyText"/>
        <w:ind w:left="31"/>
        <w:spacing w:before="23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、内燃机的性能指标及内燃机特性与匹配。</w:t>
      </w:r>
    </w:p>
    <w:p>
      <w:pPr>
        <w:pStyle w:val="BodyText"/>
        <w:ind w:left="35"/>
        <w:spacing w:before="23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、内燃机增压的基本原理和废气涡轮增压的基本形式、</w:t>
      </w:r>
      <w:r>
        <w:rPr>
          <w:spacing w:val="-3"/>
        </w:rPr>
        <w:t>特点及匹配原则。</w:t>
      </w:r>
    </w:p>
    <w:p>
      <w:pPr>
        <w:pStyle w:val="BodyText"/>
        <w:ind w:left="29"/>
        <w:spacing w:before="23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、内燃机性能检测方法及对测试结果的理论</w:t>
      </w:r>
      <w:r>
        <w:rPr>
          <w:spacing w:val="-3"/>
        </w:rPr>
        <w:t>分析。</w:t>
      </w:r>
    </w:p>
    <w:p>
      <w:pPr>
        <w:pStyle w:val="BodyText"/>
        <w:ind w:left="37"/>
        <w:spacing w:before="23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、内燃机新型燃烧模式及混合动力专用内燃机。</w:t>
      </w:r>
    </w:p>
    <w:p>
      <w:pPr>
        <w:pStyle w:val="BodyText"/>
        <w:ind w:left="10"/>
        <w:spacing w:before="23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、内燃机发展新技术及排气后处理技术。</w:t>
      </w:r>
    </w:p>
    <w:p>
      <w:pPr>
        <w:ind w:left="3"/>
        <w:spacing w:before="262" w:line="297" w:lineRule="exact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color w:val="B7B7B7"/>
          <w:spacing w:val="-19"/>
          <w:w w:val="92"/>
          <w:position w:val="-1"/>
        </w:rPr>
        <w:t>二、考察的范围</w:t>
      </w:r>
    </w:p>
    <w:p>
      <w:pPr>
        <w:pStyle w:val="BodyText"/>
        <w:ind w:left="67"/>
        <w:spacing w:before="198" w:line="219" w:lineRule="auto"/>
        <w:rPr/>
      </w:pPr>
      <w:r>
        <w:rPr>
          <w:b/>
          <w:bCs/>
          <w:spacing w:val="-9"/>
        </w:rPr>
        <w:t>1</w:t>
      </w:r>
      <w:r>
        <w:rPr>
          <w:spacing w:val="44"/>
        </w:rPr>
        <w:t xml:space="preserve"> </w:t>
      </w:r>
      <w:r>
        <w:rPr>
          <w:b/>
          <w:bCs/>
          <w:spacing w:val="-9"/>
        </w:rPr>
        <w:t>内燃机动力经济性指标与影响因素</w:t>
      </w:r>
    </w:p>
    <w:p>
      <w:pPr>
        <w:pStyle w:val="BodyText"/>
        <w:ind w:left="19"/>
        <w:spacing w:before="183" w:line="239" w:lineRule="auto"/>
        <w:rPr/>
      </w:pPr>
      <w:r>
        <w:rPr>
          <w:rFonts w:ascii="Wingdings" w:hAnsi="Wingdings" w:eastAsia="Wingdings" w:cs="Wingdings"/>
          <w:spacing w:val="-14"/>
        </w:rPr>
        <w:t>l</w:t>
      </w:r>
      <w:r>
        <w:rPr>
          <w:rFonts w:ascii="Wingdings" w:hAnsi="Wingdings" w:eastAsia="Wingdings" w:cs="Wingdings"/>
          <w:spacing w:val="39"/>
        </w:rPr>
        <w:t xml:space="preserve"> </w:t>
      </w:r>
      <w:r>
        <w:rPr>
          <w:spacing w:val="-14"/>
        </w:rPr>
        <w:t>内燃机工质做功及示功图</w:t>
      </w:r>
    </w:p>
    <w:p>
      <w:pPr>
        <w:pStyle w:val="BodyText"/>
        <w:ind w:left="19"/>
        <w:spacing w:before="156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动力性和经济性指标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影响动力经济性指标的环节与因素</w:t>
      </w:r>
    </w:p>
    <w:p>
      <w:pPr>
        <w:pStyle w:val="BodyText"/>
        <w:ind w:left="38"/>
        <w:spacing w:before="156" w:line="219" w:lineRule="auto"/>
        <w:rPr/>
      </w:pPr>
      <w:r>
        <w:rPr>
          <w:b/>
          <w:bCs/>
          <w:spacing w:val="-8"/>
        </w:rPr>
        <w:t>2</w:t>
      </w:r>
      <w:r>
        <w:rPr>
          <w:spacing w:val="34"/>
        </w:rPr>
        <w:t xml:space="preserve"> </w:t>
      </w:r>
      <w:r>
        <w:rPr>
          <w:b/>
          <w:bCs/>
          <w:spacing w:val="-8"/>
        </w:rPr>
        <w:t>内燃机燃烧理化特性与热化学</w:t>
      </w:r>
    </w:p>
    <w:p>
      <w:pPr>
        <w:pStyle w:val="BodyText"/>
        <w:ind w:left="19"/>
        <w:spacing w:before="183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车用燃料成分及理化特性</w:t>
      </w:r>
    </w:p>
    <w:p>
      <w:pPr>
        <w:pStyle w:val="BodyText"/>
        <w:ind w:left="19"/>
        <w:spacing w:before="156" w:line="239" w:lineRule="auto"/>
        <w:rPr/>
      </w:pPr>
      <w:r>
        <w:rPr>
          <w:rFonts w:ascii="Wingdings" w:hAnsi="Wingdings" w:eastAsia="Wingdings" w:cs="Wingdings"/>
          <w:spacing w:val="-18"/>
        </w:rPr>
        <w:t>l </w:t>
      </w:r>
      <w:r>
        <w:rPr>
          <w:spacing w:val="-18"/>
        </w:rPr>
        <w:t>燃料理化特性对内燃机工作模式的影响</w:t>
      </w:r>
    </w:p>
    <w:p>
      <w:pPr>
        <w:pStyle w:val="BodyText"/>
        <w:ind w:left="19"/>
        <w:spacing w:before="155" w:line="239" w:lineRule="auto"/>
        <w:rPr/>
      </w:pPr>
      <w:r>
        <w:rPr>
          <w:rFonts w:ascii="Wingdings" w:hAnsi="Wingdings" w:eastAsia="Wingdings" w:cs="Wingdings"/>
          <w:spacing w:val="-3"/>
        </w:rPr>
        <w:t>l </w:t>
      </w:r>
      <w:r>
        <w:rPr>
          <w:spacing w:val="-3"/>
        </w:rPr>
        <w:t>燃料燃烧热化学</w:t>
      </w:r>
    </w:p>
    <w:p>
      <w:pPr>
        <w:pStyle w:val="BodyText"/>
        <w:ind w:left="40"/>
        <w:spacing w:before="159" w:line="219" w:lineRule="auto"/>
        <w:rPr/>
      </w:pPr>
      <w:r>
        <w:rPr>
          <w:b/>
          <w:bCs/>
          <w:spacing w:val="-9"/>
        </w:rPr>
        <w:t>3</w:t>
      </w:r>
      <w:r>
        <w:rPr>
          <w:spacing w:val="42"/>
        </w:rPr>
        <w:t xml:space="preserve"> </w:t>
      </w:r>
      <w:r>
        <w:rPr>
          <w:b/>
          <w:bCs/>
          <w:spacing w:val="-9"/>
        </w:rPr>
        <w:t>内燃机工作循环与能量利用</w:t>
      </w:r>
    </w:p>
    <w:p>
      <w:pPr>
        <w:pStyle w:val="BodyText"/>
        <w:ind w:left="19"/>
        <w:spacing w:before="167" w:line="239" w:lineRule="auto"/>
        <w:rPr/>
      </w:pPr>
      <w:r>
        <w:rPr>
          <w:rFonts w:ascii="Wingdings" w:hAnsi="Wingdings" w:eastAsia="Wingdings" w:cs="Wingdings"/>
          <w:spacing w:val="-6"/>
        </w:rPr>
        <w:t>l</w:t>
      </w:r>
      <w:r>
        <w:rPr>
          <w:rFonts w:ascii="Wingdings" w:hAnsi="Wingdings" w:eastAsia="Wingdings" w:cs="Wingdings"/>
          <w:spacing w:val="39"/>
        </w:rPr>
        <w:t xml:space="preserve"> </w:t>
      </w:r>
      <w:r>
        <w:rPr>
          <w:spacing w:val="-6"/>
        </w:rPr>
        <w:t>内燃机热力过程循环</w:t>
      </w:r>
    </w:p>
    <w:p>
      <w:pPr>
        <w:pStyle w:val="BodyText"/>
        <w:ind w:left="19"/>
        <w:spacing w:before="158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理想工质的理想循环</w:t>
      </w:r>
    </w:p>
    <w:p>
      <w:pPr>
        <w:pStyle w:val="BodyText"/>
        <w:ind w:left="19"/>
        <w:spacing w:before="158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真实工质的理想循环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真实工质的真实循环</w:t>
      </w:r>
    </w:p>
    <w:p>
      <w:pPr>
        <w:pStyle w:val="BodyText"/>
        <w:ind w:left="19"/>
        <w:spacing w:before="156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机械损失与机械效率</w:t>
      </w:r>
    </w:p>
    <w:p>
      <w:pPr>
        <w:pStyle w:val="BodyText"/>
        <w:ind w:left="19"/>
        <w:spacing w:before="167" w:line="239" w:lineRule="auto"/>
        <w:rPr/>
      </w:pPr>
      <w:r>
        <w:rPr>
          <w:rFonts w:ascii="Wingdings" w:hAnsi="Wingdings" w:eastAsia="Wingdings" w:cs="Wingdings"/>
          <w:spacing w:val="-5"/>
        </w:rPr>
        <w:t>l</w:t>
      </w:r>
      <w:r>
        <w:rPr>
          <w:rFonts w:ascii="Wingdings" w:hAnsi="Wingdings" w:eastAsia="Wingdings" w:cs="Wingdings"/>
          <w:spacing w:val="44"/>
        </w:rPr>
        <w:t xml:space="preserve"> </w:t>
      </w:r>
      <w:r>
        <w:rPr>
          <w:spacing w:val="-5"/>
        </w:rPr>
        <w:t>内燃机能量分配与合理利用</w:t>
      </w:r>
    </w:p>
    <w:p>
      <w:pPr>
        <w:pStyle w:val="BodyText"/>
        <w:ind w:left="34"/>
        <w:spacing w:before="157" w:line="219" w:lineRule="auto"/>
        <w:rPr/>
      </w:pPr>
      <w:r>
        <w:rPr>
          <w:b/>
          <w:bCs/>
          <w:spacing w:val="-8"/>
        </w:rPr>
        <w:t>4</w:t>
      </w:r>
      <w:r>
        <w:rPr>
          <w:spacing w:val="35"/>
        </w:rPr>
        <w:t xml:space="preserve"> </w:t>
      </w:r>
      <w:r>
        <w:rPr>
          <w:b/>
          <w:bCs/>
          <w:spacing w:val="-8"/>
        </w:rPr>
        <w:t>内燃机换气过程与进气充量</w:t>
      </w:r>
    </w:p>
    <w:p>
      <w:pPr>
        <w:pStyle w:val="BodyText"/>
        <w:ind w:left="19"/>
        <w:spacing w:before="184" w:line="239" w:lineRule="auto"/>
        <w:rPr/>
      </w:pPr>
      <w:r>
        <w:rPr>
          <w:rFonts w:ascii="Wingdings" w:hAnsi="Wingdings" w:eastAsia="Wingdings" w:cs="Wingdings"/>
          <w:spacing w:val="-8"/>
        </w:rPr>
        <w:t>l</w:t>
      </w:r>
      <w:r>
        <w:rPr>
          <w:rFonts w:ascii="Wingdings" w:hAnsi="Wingdings" w:eastAsia="Wingdings" w:cs="Wingdings"/>
          <w:spacing w:val="43"/>
        </w:rPr>
        <w:t xml:space="preserve"> </w:t>
      </w:r>
      <w:r>
        <w:rPr>
          <w:spacing w:val="-8"/>
        </w:rPr>
        <w:t>内燃机换气过程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充量系数及其影响因素</w:t>
      </w:r>
    </w:p>
    <w:p>
      <w:pPr>
        <w:pStyle w:val="BodyText"/>
        <w:ind w:left="19"/>
        <w:spacing w:before="172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进排气系统的动态效应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10"/>
        </w:rPr>
        <w:t>l</w:t>
      </w:r>
      <w:r>
        <w:rPr>
          <w:rFonts w:ascii="Wingdings" w:hAnsi="Wingdings" w:eastAsia="Wingdings" w:cs="Wingdings"/>
          <w:spacing w:val="39"/>
        </w:rPr>
        <w:t xml:space="preserve"> </w:t>
      </w:r>
      <w:r>
        <w:rPr>
          <w:spacing w:val="-10"/>
        </w:rPr>
        <w:t>内燃机增压</w:t>
      </w:r>
    </w:p>
    <w:p>
      <w:pPr>
        <w:spacing w:line="239" w:lineRule="auto"/>
        <w:sectPr>
          <w:pgSz w:w="11906" w:h="16840"/>
          <w:pgMar w:top="1416" w:right="1785" w:bottom="0" w:left="1785" w:header="0" w:footer="0" w:gutter="0"/>
        </w:sectPr>
        <w:rPr/>
      </w:pPr>
    </w:p>
    <w:p>
      <w:pPr>
        <w:pStyle w:val="BodyText"/>
        <w:ind w:left="19"/>
        <w:spacing w:before="19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涡轮增压内燃机性能改进方法</w:t>
      </w:r>
    </w:p>
    <w:p>
      <w:pPr>
        <w:pStyle w:val="BodyText"/>
        <w:ind w:left="40"/>
        <w:spacing w:before="154" w:line="219" w:lineRule="auto"/>
        <w:rPr/>
      </w:pPr>
      <w:r>
        <w:rPr>
          <w:b/>
          <w:bCs/>
          <w:spacing w:val="-9"/>
        </w:rPr>
        <w:t>5</w:t>
      </w:r>
      <w:r>
        <w:rPr>
          <w:spacing w:val="38"/>
        </w:rPr>
        <w:t xml:space="preserve"> </w:t>
      </w:r>
      <w:r>
        <w:rPr>
          <w:b/>
          <w:bCs/>
          <w:spacing w:val="-9"/>
        </w:rPr>
        <w:t>内燃机混合气形成与燃烧</w:t>
      </w:r>
    </w:p>
    <w:p>
      <w:pPr>
        <w:pStyle w:val="BodyText"/>
        <w:ind w:left="19"/>
        <w:spacing w:before="184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液体燃料喷雾特性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可燃混合气着火理论</w:t>
      </w:r>
    </w:p>
    <w:p>
      <w:pPr>
        <w:pStyle w:val="BodyText"/>
        <w:ind w:left="19"/>
        <w:spacing w:before="156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展开示功图与燃烧放热率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柴油机混合气形成与燃烧过程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汽油机混合气形成与燃烧过程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7"/>
        </w:rPr>
        <w:t>l</w:t>
      </w:r>
      <w:r>
        <w:rPr>
          <w:rFonts w:ascii="Wingdings" w:hAnsi="Wingdings" w:eastAsia="Wingdings" w:cs="Wingdings"/>
          <w:spacing w:val="42"/>
        </w:rPr>
        <w:t xml:space="preserve"> </w:t>
      </w:r>
      <w:r>
        <w:rPr>
          <w:spacing w:val="-7"/>
        </w:rPr>
        <w:t>内燃机新燃烧模式</w:t>
      </w:r>
    </w:p>
    <w:p>
      <w:pPr>
        <w:pStyle w:val="BodyText"/>
        <w:ind w:left="37"/>
        <w:spacing w:before="157" w:line="219" w:lineRule="auto"/>
        <w:rPr/>
      </w:pPr>
      <w:r>
        <w:rPr>
          <w:b/>
          <w:bCs/>
          <w:spacing w:val="-8"/>
        </w:rPr>
        <w:t>6</w:t>
      </w:r>
      <w:r>
        <w:rPr>
          <w:spacing w:val="37"/>
        </w:rPr>
        <w:t xml:space="preserve"> </w:t>
      </w:r>
      <w:r>
        <w:rPr>
          <w:b/>
          <w:bCs/>
          <w:spacing w:val="-8"/>
        </w:rPr>
        <w:t>内燃机有害排放物生成与控制</w:t>
      </w:r>
    </w:p>
    <w:p>
      <w:pPr>
        <w:pStyle w:val="BodyText"/>
        <w:ind w:left="19"/>
        <w:spacing w:before="181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汽车排放法规简介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9"/>
        </w:rPr>
        <w:t>l </w:t>
      </w:r>
      <w:r>
        <w:rPr>
          <w:spacing w:val="-9"/>
        </w:rPr>
        <w:t>有害排放物生成机理及影响因素</w:t>
      </w:r>
    </w:p>
    <w:p>
      <w:pPr>
        <w:pStyle w:val="BodyText"/>
        <w:ind w:left="19"/>
        <w:spacing w:before="174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汽油机的机内净化技术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柴油机的机内净化技术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汽油机排气后处理技术</w:t>
      </w:r>
    </w:p>
    <w:p>
      <w:pPr>
        <w:pStyle w:val="BodyText"/>
        <w:ind w:left="19"/>
        <w:spacing w:before="171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柴油机排气后处理技术</w:t>
      </w:r>
    </w:p>
    <w:p>
      <w:pPr>
        <w:pStyle w:val="BodyText"/>
        <w:ind w:left="19"/>
        <w:spacing w:before="175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非排气污染物控制技术</w:t>
      </w:r>
    </w:p>
    <w:p>
      <w:pPr>
        <w:pStyle w:val="BodyText"/>
        <w:ind w:left="43"/>
        <w:spacing w:before="154" w:line="219" w:lineRule="auto"/>
        <w:rPr/>
      </w:pPr>
      <w:r>
        <w:rPr>
          <w:b/>
          <w:bCs/>
          <w:spacing w:val="-9"/>
        </w:rPr>
        <w:t>7</w:t>
      </w:r>
      <w:r>
        <w:rPr>
          <w:spacing w:val="41"/>
        </w:rPr>
        <w:t xml:space="preserve"> </w:t>
      </w:r>
      <w:r>
        <w:rPr>
          <w:b/>
          <w:bCs/>
          <w:spacing w:val="-9"/>
        </w:rPr>
        <w:t>内燃机运行特性与整车匹配</w:t>
      </w:r>
    </w:p>
    <w:p>
      <w:pPr>
        <w:pStyle w:val="BodyText"/>
        <w:ind w:left="19"/>
        <w:spacing w:before="182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运行工况与功率标定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8"/>
        </w:rPr>
        <w:t>l </w:t>
      </w:r>
      <w:r>
        <w:rPr>
          <w:spacing w:val="-8"/>
        </w:rPr>
        <w:t>特性分类及运行特性的分析方法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速度特性与整车动力性</w:t>
      </w:r>
    </w:p>
    <w:p>
      <w:pPr>
        <w:pStyle w:val="BodyText"/>
        <w:ind w:left="19"/>
        <w:spacing w:before="155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负荷特性及全特性与整车经济性</w:t>
      </w:r>
    </w:p>
    <w:p>
      <w:pPr>
        <w:pStyle w:val="BodyText"/>
        <w:ind w:left="19"/>
        <w:spacing w:before="156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满足排放法规的汽油机匹配标定</w:t>
      </w:r>
    </w:p>
    <w:p>
      <w:pPr>
        <w:pStyle w:val="BodyText"/>
        <w:ind w:left="10"/>
        <w:spacing w:before="167" w:line="219" w:lineRule="auto"/>
        <w:rPr/>
      </w:pPr>
      <w:r>
        <w:rPr>
          <w:b/>
          <w:bCs/>
          <w:spacing w:val="-5"/>
        </w:rPr>
        <w:t>8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混合动力专用内燃机</w:t>
      </w:r>
    </w:p>
    <w:p>
      <w:pPr>
        <w:pStyle w:val="BodyText"/>
        <w:ind w:left="19"/>
        <w:spacing w:before="172" w:line="239" w:lineRule="auto"/>
        <w:rPr/>
      </w:pPr>
      <w:r>
        <w:rPr>
          <w:rFonts w:ascii="Wingdings" w:hAnsi="Wingdings" w:eastAsia="Wingdings" w:cs="Wingdings"/>
          <w:spacing w:val="-3"/>
        </w:rPr>
        <w:t>l </w:t>
      </w:r>
      <w:r>
        <w:rPr>
          <w:spacing w:val="-3"/>
        </w:rPr>
        <w:t>专用内燃机特征</w:t>
      </w:r>
    </w:p>
    <w:p>
      <w:pPr>
        <w:pStyle w:val="BodyText"/>
        <w:ind w:left="19"/>
        <w:spacing w:before="157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专用内燃机运行特征</w:t>
      </w:r>
    </w:p>
    <w:p>
      <w:pPr>
        <w:pStyle w:val="BodyText"/>
        <w:ind w:left="19"/>
        <w:spacing w:before="155" w:line="239" w:lineRule="auto"/>
        <w:rPr/>
      </w:pPr>
      <w:r>
        <w:rPr>
          <w:rFonts w:ascii="Wingdings" w:hAnsi="Wingdings" w:eastAsia="Wingdings" w:cs="Wingdings"/>
          <w:spacing w:val="-2"/>
        </w:rPr>
        <w:t>l </w:t>
      </w:r>
      <w:r>
        <w:rPr>
          <w:spacing w:val="-2"/>
        </w:rPr>
        <w:t>专用内燃机技术要求</w:t>
      </w:r>
    </w:p>
    <w:sectPr>
      <w:pgSz w:w="11906" w:h="16840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2023-09-27T15:33:21Z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2024-10-14T10:24:32</vt:filetime>
  </property>
</Properties>
</file>