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778" w:right="680" w:hanging="2201"/>
        <w:spacing w:before="316" w:line="29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天津商业大学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2025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年硕士研究生招生考试（初试）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自命题科目考试大纲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ind w:left="24"/>
        <w:spacing w:before="78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</w:rPr>
        <w:t>科目代码：</w:t>
      </w:r>
      <w:r>
        <w:rPr>
          <w:rFonts w:ascii="Times New Roman" w:hAnsi="Times New Roman" w:eastAsia="Times New Roman" w:cs="Times New Roman"/>
          <w:sz w:val="24"/>
          <w:szCs w:val="24"/>
        </w:rPr>
        <w:t>801                  </w:t>
      </w:r>
      <w:r>
        <w:rPr>
          <w:rFonts w:ascii="SimHei" w:hAnsi="SimHei" w:eastAsia="SimHei" w:cs="SimHei"/>
          <w:sz w:val="24"/>
          <w:szCs w:val="24"/>
        </w:rPr>
        <w:t>科</w:t>
      </w:r>
      <w:r>
        <w:rPr>
          <w:rFonts w:ascii="SimHei" w:hAnsi="SimHei" w:eastAsia="SimHei" w:cs="SimHei"/>
          <w:sz w:val="24"/>
          <w:szCs w:val="24"/>
          <w:spacing w:val="-1"/>
        </w:rPr>
        <w:t>目名称：经济学</w:t>
      </w:r>
    </w:p>
    <w:p>
      <w:pPr>
        <w:ind w:left="27"/>
        <w:spacing w:before="184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一、考试要求</w:t>
      </w:r>
    </w:p>
    <w:p>
      <w:pPr>
        <w:pStyle w:val="BodyText"/>
        <w:ind w:left="23" w:right="76" w:firstLine="456"/>
        <w:spacing w:before="187" w:line="353" w:lineRule="auto"/>
        <w:jc w:val="both"/>
        <w:rPr/>
      </w:pPr>
      <w:r>
        <w:rPr>
          <w:spacing w:val="-9"/>
        </w:rPr>
        <w:t>本考试科目为经济学类硕士研究生入学考试科目之一，要求考</w:t>
      </w:r>
      <w:r>
        <w:rPr>
          <w:spacing w:val="-10"/>
        </w:rPr>
        <w:t>生系统掌握经济</w:t>
      </w:r>
      <w:r>
        <w:rPr/>
        <w:t xml:space="preserve"> </w:t>
      </w:r>
      <w:r>
        <w:rPr>
          <w:spacing w:val="-9"/>
        </w:rPr>
        <w:t>学理论的基本内容，包括微观经济学、宏观经济学。目的是考察</w:t>
      </w:r>
      <w:r>
        <w:rPr>
          <w:spacing w:val="-10"/>
        </w:rPr>
        <w:t>学生对相关经济学</w:t>
      </w:r>
      <w:r>
        <w:rPr/>
        <w:t xml:space="preserve"> </w:t>
      </w:r>
      <w:r>
        <w:rPr>
          <w:spacing w:val="-9"/>
        </w:rPr>
        <w:t>的基本概念、基本观点、基本原理和基本分析方法的理解，</w:t>
      </w:r>
      <w:r>
        <w:rPr>
          <w:spacing w:val="-10"/>
        </w:rPr>
        <w:t>及运用理论分析实际问</w:t>
      </w:r>
      <w:r>
        <w:rPr/>
        <w:t xml:space="preserve"> </w:t>
      </w:r>
      <w:r>
        <w:rPr>
          <w:spacing w:val="-13"/>
        </w:rPr>
        <w:t>题的能力。要求学生具备较好的理论基础，较强的分析和解决问题的能力。</w:t>
      </w:r>
    </w:p>
    <w:p>
      <w:pPr>
        <w:ind w:left="27"/>
        <w:spacing w:before="34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二、考试形式及时间</w:t>
      </w:r>
    </w:p>
    <w:p>
      <w:pPr>
        <w:pStyle w:val="BodyText"/>
        <w:ind w:left="28" w:right="2945" w:firstLine="452"/>
        <w:spacing w:before="184" w:line="346" w:lineRule="auto"/>
        <w:rPr>
          <w:rFonts w:ascii="SimHei" w:hAnsi="SimHei" w:eastAsia="SimHei" w:cs="SimHei"/>
        </w:rPr>
      </w:pPr>
      <w:r>
        <w:rPr>
          <w:spacing w:val="-13"/>
        </w:rPr>
        <w:t>本考试科目采取闭卷笔试，考试时间为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3 </w:t>
      </w:r>
      <w:r>
        <w:rPr>
          <w:spacing w:val="-13"/>
        </w:rPr>
        <w:t>个小时。</w:t>
      </w:r>
      <w:r>
        <w:rPr/>
        <w:t xml:space="preserve"> </w:t>
      </w:r>
      <w:r>
        <w:rPr>
          <w:rFonts w:ascii="SimHei" w:hAnsi="SimHei" w:eastAsia="SimHei" w:cs="SimHei"/>
          <w:spacing w:val="-2"/>
        </w:rPr>
        <w:t>三、考试内容</w:t>
      </w:r>
    </w:p>
    <w:p>
      <w:pPr>
        <w:pStyle w:val="BodyText"/>
        <w:ind w:left="479"/>
        <w:spacing w:before="36" w:line="220" w:lineRule="auto"/>
        <w:rPr/>
      </w:pPr>
      <w:r>
        <w:rPr>
          <w:spacing w:val="-10"/>
        </w:rPr>
        <w:t>微观经济学部分</w:t>
      </w:r>
    </w:p>
    <w:p>
      <w:pPr>
        <w:pStyle w:val="BodyText"/>
        <w:ind w:left="498"/>
        <w:spacing w:before="182" w:line="222" w:lineRule="auto"/>
        <w:rPr/>
      </w:pPr>
      <w:r>
        <w:rPr>
          <w:rFonts w:ascii="Times New Roman" w:hAnsi="Times New Roman" w:eastAsia="Times New Roman" w:cs="Times New Roman"/>
          <w:spacing w:val="-11"/>
        </w:rPr>
        <w:t>1</w:t>
      </w:r>
      <w:r>
        <w:rPr>
          <w:spacing w:val="-11"/>
        </w:rPr>
        <w:t>．导论</w:t>
      </w:r>
    </w:p>
    <w:p>
      <w:pPr>
        <w:pStyle w:val="BodyText"/>
        <w:ind w:left="24" w:right="14" w:firstLine="456"/>
        <w:spacing w:before="181" w:line="355" w:lineRule="auto"/>
        <w:rPr/>
      </w:pPr>
      <w:r>
        <w:rPr>
          <w:spacing w:val="-12"/>
        </w:rPr>
        <w:t>经济学的研究对象：需要的无限性和资源的稀缺性，生产可能性曲线与机会成</w:t>
      </w:r>
      <w:r>
        <w:rPr/>
        <w:t xml:space="preserve">  </w:t>
      </w:r>
      <w:r>
        <w:rPr>
          <w:spacing w:val="-16"/>
        </w:rPr>
        <w:t>本，选择、制度与资源配置，经济学学的研究对象与基本内容；</w:t>
      </w:r>
      <w:r>
        <w:rPr>
          <w:spacing w:val="-39"/>
        </w:rPr>
        <w:t xml:space="preserve"> </w:t>
      </w:r>
      <w:r>
        <w:rPr>
          <w:spacing w:val="-16"/>
        </w:rPr>
        <w:t>经济学的研究方法：</w:t>
      </w:r>
      <w:r>
        <w:rPr/>
        <w:t xml:space="preserve"> </w:t>
      </w:r>
      <w:r>
        <w:rPr>
          <w:spacing w:val="-14"/>
        </w:rPr>
        <w:t>经济学的基本假设，演绎法和归纳法，经济模型的构建，静态分析和比较静态分析，</w:t>
      </w:r>
      <w:r>
        <w:rPr>
          <w:spacing w:val="7"/>
        </w:rPr>
        <w:t xml:space="preserve"> </w:t>
      </w:r>
      <w:r>
        <w:rPr>
          <w:spacing w:val="-12"/>
        </w:rPr>
        <w:t>实证分析与规范分析。西方经济学的由来与发展；微观经济学与宏观经济学及其关</w:t>
      </w:r>
      <w:r>
        <w:rPr/>
        <w:t xml:space="preserve">  </w:t>
      </w:r>
      <w:r>
        <w:rPr>
          <w:spacing w:val="-15"/>
        </w:rPr>
        <w:t>系。</w:t>
      </w:r>
    </w:p>
    <w:p>
      <w:pPr>
        <w:pStyle w:val="BodyText"/>
        <w:ind w:left="475"/>
        <w:spacing w:before="32" w:line="218" w:lineRule="auto"/>
        <w:rPr/>
      </w:pPr>
      <w:r>
        <w:rPr>
          <w:rFonts w:ascii="Times New Roman" w:hAnsi="Times New Roman" w:eastAsia="Times New Roman" w:cs="Times New Roman"/>
          <w:spacing w:val="-10"/>
        </w:rPr>
        <w:t>2</w:t>
      </w:r>
      <w:r>
        <w:rPr>
          <w:spacing w:val="-10"/>
        </w:rPr>
        <w:t>．需求、供给和均衡价格</w:t>
      </w:r>
    </w:p>
    <w:p>
      <w:pPr>
        <w:pStyle w:val="BodyText"/>
        <w:ind w:left="23" w:firstLine="459"/>
        <w:spacing w:before="185" w:line="353" w:lineRule="auto"/>
        <w:rPr/>
      </w:pPr>
      <w:r>
        <w:rPr>
          <w:spacing w:val="-12"/>
        </w:rPr>
        <w:t>关于需求的一般原理：需求函数，需求曲线与需</w:t>
      </w:r>
      <w:r>
        <w:rPr>
          <w:spacing w:val="-13"/>
        </w:rPr>
        <w:t>求规律，需求量的变化与需求</w:t>
      </w:r>
      <w:r>
        <w:rPr/>
        <w:t xml:space="preserve">  </w:t>
      </w:r>
      <w:r>
        <w:rPr>
          <w:spacing w:val="-12"/>
        </w:rPr>
        <w:t>的变化，需求弹性；关于供给的一般原理：供给函数，供给曲线与</w:t>
      </w:r>
      <w:r>
        <w:rPr>
          <w:spacing w:val="-13"/>
        </w:rPr>
        <w:t>供给规律，供给</w:t>
      </w:r>
      <w:r>
        <w:rPr/>
        <w:t xml:space="preserve">  </w:t>
      </w:r>
      <w:r>
        <w:rPr>
          <w:spacing w:val="-12"/>
        </w:rPr>
        <w:t>量变化与供给变化，供给弹性；市场均衡：均衡价格的形成，均衡价格的变动，供</w:t>
      </w:r>
      <w:r>
        <w:rPr>
          <w:spacing w:val="1"/>
        </w:rPr>
        <w:t xml:space="preserve">  </w:t>
      </w:r>
      <w:r>
        <w:rPr>
          <w:spacing w:val="-13"/>
        </w:rPr>
        <w:t>求定理；均衡价格模型的应用，最低限价与最高限价</w:t>
      </w:r>
      <w:r>
        <w:rPr>
          <w:spacing w:val="-14"/>
        </w:rPr>
        <w:t>，农产品支持价格，税收效应。</w:t>
      </w:r>
    </w:p>
    <w:p>
      <w:pPr>
        <w:pStyle w:val="BodyText"/>
        <w:ind w:left="480"/>
        <w:spacing w:before="37" w:line="220" w:lineRule="auto"/>
        <w:rPr/>
      </w:pPr>
      <w:r>
        <w:rPr>
          <w:rFonts w:ascii="Times New Roman" w:hAnsi="Times New Roman" w:eastAsia="Times New Roman" w:cs="Times New Roman"/>
          <w:spacing w:val="-10"/>
        </w:rPr>
        <w:t>3</w:t>
      </w:r>
      <w:r>
        <w:rPr>
          <w:spacing w:val="-10"/>
        </w:rPr>
        <w:t>．消费者行为与需求</w:t>
      </w:r>
    </w:p>
    <w:p>
      <w:pPr>
        <w:pStyle w:val="BodyText"/>
        <w:ind w:left="25" w:right="174" w:firstLine="454"/>
        <w:spacing w:before="182" w:line="353" w:lineRule="auto"/>
        <w:rPr/>
      </w:pPr>
      <w:r>
        <w:rPr>
          <w:spacing w:val="-12"/>
        </w:rPr>
        <w:t>基数效用论与需求曲线的导出：基数效用论特征，效用函数，总效用与边际效</w:t>
      </w:r>
      <w:r>
        <w:rPr>
          <w:spacing w:val="1"/>
        </w:rPr>
        <w:t xml:space="preserve"> </w:t>
      </w:r>
      <w:r>
        <w:rPr>
          <w:spacing w:val="-12"/>
        </w:rPr>
        <w:t>用，消费者预算与消费者均衡，需求曲线的导出与消费者剩余；序数效用论与需求</w:t>
      </w:r>
      <w:r>
        <w:rPr/>
        <w:t xml:space="preserve"> </w:t>
      </w:r>
      <w:r>
        <w:rPr>
          <w:spacing w:val="-12"/>
        </w:rPr>
        <w:t>曲线：序数效用论特征，无差异曲线，边际替代率，预算线，消费者均衡，收入消</w:t>
      </w:r>
      <w:r>
        <w:rPr/>
        <w:t xml:space="preserve"> </w:t>
      </w:r>
      <w:r>
        <w:rPr>
          <w:spacing w:val="-12"/>
        </w:rPr>
        <w:t>费线与恩格尔曲线，价格消费线与消费者需求曲线，替代效应与收入效应；不确定</w:t>
      </w:r>
    </w:p>
    <w:p>
      <w:pPr>
        <w:spacing w:line="353" w:lineRule="auto"/>
        <w:sectPr>
          <w:pgSz w:w="11907" w:h="16839"/>
          <w:pgMar w:top="1431" w:right="1710" w:bottom="0" w:left="1785" w:header="0" w:footer="0" w:gutter="0"/>
        </w:sectPr>
        <w:rPr/>
      </w:pPr>
    </w:p>
    <w:p>
      <w:pPr>
        <w:pStyle w:val="BodyText"/>
        <w:spacing w:before="123" w:line="220" w:lineRule="auto"/>
        <w:jc w:val="right"/>
        <w:rPr/>
      </w:pPr>
      <w:r>
        <w:rPr>
          <w:spacing w:val="-13"/>
        </w:rPr>
        <w:t>性和风险：不确定性和风险事件，消费者对风险的偏好和</w:t>
      </w:r>
      <w:r>
        <w:rPr>
          <w:spacing w:val="-14"/>
        </w:rPr>
        <w:t>态度，风险条件下的决策。</w:t>
      </w:r>
    </w:p>
    <w:p>
      <w:pPr>
        <w:pStyle w:val="BodyText"/>
        <w:ind w:left="474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10"/>
        </w:rPr>
        <w:t>4</w:t>
      </w:r>
      <w:r>
        <w:rPr>
          <w:spacing w:val="-10"/>
        </w:rPr>
        <w:t>．生产者行为理论与供给</w:t>
      </w:r>
    </w:p>
    <w:p>
      <w:pPr>
        <w:pStyle w:val="BodyText"/>
        <w:ind w:left="22" w:right="180" w:firstLine="458"/>
        <w:spacing w:before="184" w:line="353" w:lineRule="auto"/>
        <w:rPr/>
      </w:pPr>
      <w:r>
        <w:rPr>
          <w:spacing w:val="-12"/>
        </w:rPr>
        <w:t>生产函数：技术系数，长期与短期；单一可变投入要素的生产函数：总产量、</w:t>
      </w:r>
      <w:r>
        <w:rPr/>
        <w:t xml:space="preserve"> </w:t>
      </w:r>
      <w:r>
        <w:rPr>
          <w:spacing w:val="-12"/>
        </w:rPr>
        <w:t>平均产量、边际产量，生产的三个阶段与生产的合理区域，边际报酬递减规律；两</w:t>
      </w:r>
      <w:r>
        <w:rPr>
          <w:spacing w:val="2"/>
        </w:rPr>
        <w:t xml:space="preserve"> </w:t>
      </w:r>
      <w:r>
        <w:rPr>
          <w:spacing w:val="-12"/>
        </w:rPr>
        <w:t>种可变投入要素的生产函数：等产量曲线，边际技术替代率，长期与规模报酬；柯</w:t>
      </w:r>
      <w:r>
        <w:rPr>
          <w:spacing w:val="2"/>
        </w:rPr>
        <w:t xml:space="preserve"> </w:t>
      </w:r>
      <w:r>
        <w:rPr>
          <w:spacing w:val="-14"/>
        </w:rPr>
        <w:t>布—道格拉斯生产函数。</w:t>
      </w:r>
    </w:p>
    <w:p>
      <w:pPr>
        <w:pStyle w:val="BodyText"/>
        <w:ind w:left="22" w:right="19" w:firstLine="458"/>
        <w:spacing w:before="32" w:line="356" w:lineRule="auto"/>
        <w:rPr/>
      </w:pPr>
      <w:r>
        <w:rPr>
          <w:spacing w:val="-14"/>
        </w:rPr>
        <w:t>成本函数：经济成本与经济利润，显性成本与隐性成本，成本方程与等成本线，</w:t>
      </w:r>
      <w:r>
        <w:rPr>
          <w:spacing w:val="2"/>
        </w:rPr>
        <w:t xml:space="preserve"> </w:t>
      </w:r>
      <w:r>
        <w:rPr>
          <w:spacing w:val="-12"/>
        </w:rPr>
        <w:t>产量最大化或成本最小的均衡条件，生产扩展线；短期成本函数分类，几种短期成</w:t>
      </w:r>
      <w:r>
        <w:rPr>
          <w:spacing w:val="1"/>
        </w:rPr>
        <w:t xml:space="preserve">  </w:t>
      </w:r>
      <w:r>
        <w:rPr>
          <w:spacing w:val="-12"/>
        </w:rPr>
        <w:t>本曲线及其相互关系，短期成本曲线与短期生产函数的关系。厂商的长期成本函数</w:t>
      </w:r>
      <w:r>
        <w:rPr>
          <w:spacing w:val="1"/>
        </w:rPr>
        <w:t xml:space="preserve">  </w:t>
      </w:r>
      <w:r>
        <w:rPr>
          <w:spacing w:val="-14"/>
        </w:rPr>
        <w:t>及曲线，长期成本曲线与短期成本曲线的关系，长期成本曲线与长期生产函数关系，</w:t>
      </w:r>
      <w:r>
        <w:rPr>
          <w:spacing w:val="9"/>
        </w:rPr>
        <w:t xml:space="preserve"> </w:t>
      </w:r>
      <w:r>
        <w:rPr>
          <w:spacing w:val="-12"/>
        </w:rPr>
        <w:t>规模经济与规模不经济。收益函数：总收益、平均收益与边际收益。厂商利润最大</w:t>
      </w:r>
      <w:r>
        <w:rPr>
          <w:spacing w:val="1"/>
        </w:rPr>
        <w:t xml:space="preserve">  </w:t>
      </w:r>
      <w:r>
        <w:rPr>
          <w:spacing w:val="-14"/>
        </w:rPr>
        <w:t>化一般条件。</w:t>
      </w:r>
    </w:p>
    <w:p>
      <w:pPr>
        <w:pStyle w:val="BodyText"/>
        <w:ind w:left="481"/>
        <w:spacing w:before="35" w:line="218" w:lineRule="auto"/>
        <w:rPr/>
      </w:pPr>
      <w:r>
        <w:rPr>
          <w:rFonts w:ascii="Times New Roman" w:hAnsi="Times New Roman" w:eastAsia="Times New Roman" w:cs="Times New Roman"/>
          <w:spacing w:val="-11"/>
        </w:rPr>
        <w:t>5</w:t>
      </w:r>
      <w:r>
        <w:rPr>
          <w:spacing w:val="-11"/>
        </w:rPr>
        <w:t>．完全竞争市场的价格与产量</w:t>
      </w:r>
    </w:p>
    <w:p>
      <w:pPr>
        <w:pStyle w:val="BodyText"/>
        <w:ind w:left="23" w:right="180" w:firstLine="457"/>
        <w:spacing w:before="183" w:line="351" w:lineRule="auto"/>
        <w:rPr/>
      </w:pPr>
      <w:r>
        <w:rPr>
          <w:spacing w:val="-12"/>
        </w:rPr>
        <w:t>完全竞争市场的特征，完全竞争厂商的需求曲线；完全竞争厂商的短期均衡与</w:t>
      </w:r>
      <w:r>
        <w:rPr/>
        <w:t xml:space="preserve"> </w:t>
      </w:r>
      <w:r>
        <w:rPr>
          <w:spacing w:val="-12"/>
        </w:rPr>
        <w:t>条件，收支相抵点和停止营业点，完全竞争厂商的、行业的短期供给曲线，生产者</w:t>
      </w:r>
      <w:r>
        <w:rPr>
          <w:spacing w:val="1"/>
        </w:rPr>
        <w:t xml:space="preserve"> </w:t>
      </w:r>
      <w:r>
        <w:rPr>
          <w:spacing w:val="-13"/>
        </w:rPr>
        <w:t>剩余；完全竞争厂商的长期均衡与条件，完全竞争条件下价格对资源配置的影响。</w:t>
      </w:r>
    </w:p>
    <w:p>
      <w:pPr>
        <w:pStyle w:val="BodyText"/>
        <w:ind w:left="23" w:right="22" w:firstLine="456"/>
        <w:spacing w:before="34" w:line="325" w:lineRule="auto"/>
        <w:rPr/>
      </w:pPr>
      <w:r>
        <w:rPr>
          <w:rFonts w:ascii="Times New Roman" w:hAnsi="Times New Roman" w:eastAsia="Times New Roman" w:cs="Times New Roman"/>
          <w:spacing w:val="-17"/>
        </w:rPr>
        <w:t>6</w:t>
      </w:r>
      <w:r>
        <w:rPr>
          <w:spacing w:val="-17"/>
        </w:rPr>
        <w:t>．不完全竞争市场的价格与产量垄断与成因，垄断厂商的短期均衡与长期均衡，</w:t>
      </w:r>
      <w:r>
        <w:rPr>
          <w:spacing w:val="2"/>
        </w:rPr>
        <w:t xml:space="preserve"> </w:t>
      </w:r>
      <w:r>
        <w:rPr>
          <w:spacing w:val="-12"/>
        </w:rPr>
        <w:t>价格歧视，垄断造成的社会损失，自然垄断和政府管制。 垄</w:t>
      </w:r>
      <w:r>
        <w:rPr>
          <w:spacing w:val="-13"/>
        </w:rPr>
        <w:t>断竞争：产品差别，垄</w:t>
      </w:r>
      <w:r>
        <w:rPr/>
        <w:t xml:space="preserve"> </w:t>
      </w:r>
      <w:r>
        <w:rPr>
          <w:spacing w:val="-12"/>
        </w:rPr>
        <w:t>断竞争厂商的短期均衡，垄断竞争厂商的长期均衡； 寡头垄断：</w:t>
      </w:r>
      <w:r>
        <w:rPr>
          <w:spacing w:val="-13"/>
        </w:rPr>
        <w:t>古诺模型，斯塔克</w:t>
      </w:r>
      <w:r>
        <w:rPr/>
        <w:t xml:space="preserve"> </w:t>
      </w:r>
      <w:r>
        <w:rPr>
          <w:spacing w:val="-13"/>
        </w:rPr>
        <w:t>伯格模型，价格领袖模型，勾结和卡特尔；不同市场类型的效率比较。</w:t>
      </w:r>
    </w:p>
    <w:p>
      <w:pPr>
        <w:pStyle w:val="BodyText"/>
        <w:ind w:left="479"/>
        <w:spacing w:before="185" w:line="218" w:lineRule="auto"/>
        <w:rPr/>
      </w:pPr>
      <w:r>
        <w:rPr>
          <w:rFonts w:ascii="Times New Roman" w:hAnsi="Times New Roman" w:eastAsia="Times New Roman" w:cs="Times New Roman"/>
          <w:spacing w:val="-11"/>
        </w:rPr>
        <w:t>7</w:t>
      </w:r>
      <w:r>
        <w:rPr>
          <w:spacing w:val="-11"/>
        </w:rPr>
        <w:t>．生产要素价格决定与使用量</w:t>
      </w:r>
    </w:p>
    <w:p>
      <w:pPr>
        <w:pStyle w:val="BodyText"/>
        <w:ind w:left="25" w:right="180" w:firstLine="454"/>
        <w:spacing w:before="181" w:line="356" w:lineRule="auto"/>
        <w:jc w:val="both"/>
        <w:rPr/>
      </w:pPr>
      <w:r>
        <w:rPr>
          <w:spacing w:val="-12"/>
        </w:rPr>
        <w:t>要素市场分析与分配论。厂商使用生产要素一般原则，引致需求，完全竞争厂</w:t>
      </w:r>
      <w:r>
        <w:rPr/>
        <w:t xml:space="preserve"> </w:t>
      </w:r>
      <w:r>
        <w:rPr>
          <w:spacing w:val="-12"/>
        </w:rPr>
        <w:t>商使用要素的原则，完全竞争厂商和市场对要素的需求曲线，卖方垄断市场厂商使</w:t>
      </w:r>
      <w:r>
        <w:rPr/>
        <w:t xml:space="preserve"> </w:t>
      </w:r>
      <w:r>
        <w:rPr>
          <w:spacing w:val="-12"/>
        </w:rPr>
        <w:t>用要素的原则与均衡条件、买方垄断市场厂商使用要素的原则与均衡条件。双重垄</w:t>
      </w:r>
      <w:r>
        <w:rPr/>
        <w:t xml:space="preserve"> </w:t>
      </w:r>
      <w:r>
        <w:rPr>
          <w:spacing w:val="-12"/>
        </w:rPr>
        <w:t>断市场厂商使用要素的原则与均衡条件。要素的供给原则，劳动的供给曲线，土地</w:t>
      </w:r>
      <w:r>
        <w:rPr/>
        <w:t xml:space="preserve"> </w:t>
      </w:r>
      <w:r>
        <w:rPr>
          <w:spacing w:val="-12"/>
        </w:rPr>
        <w:t>的供给曲线，资本的供给曲线。要素价格决定，租金、准租金和经济租金；洛伦茨</w:t>
      </w:r>
      <w:r>
        <w:rPr/>
        <w:t xml:space="preserve"> </w:t>
      </w:r>
      <w:r>
        <w:rPr>
          <w:spacing w:val="-12"/>
        </w:rPr>
        <w:t>曲线与基尼系数，收入分配中的效率和公平。</w:t>
      </w:r>
    </w:p>
    <w:p>
      <w:pPr>
        <w:pStyle w:val="BodyText"/>
        <w:ind w:left="485"/>
        <w:spacing w:before="35" w:line="220" w:lineRule="auto"/>
        <w:rPr/>
      </w:pPr>
      <w:r>
        <w:rPr>
          <w:rFonts w:ascii="Times New Roman" w:hAnsi="Times New Roman" w:eastAsia="Times New Roman" w:cs="Times New Roman"/>
          <w:spacing w:val="-11"/>
        </w:rPr>
        <w:t>8</w:t>
      </w:r>
      <w:r>
        <w:rPr>
          <w:spacing w:val="-11"/>
        </w:rPr>
        <w:t>．一般均衡论与福利经济学</w:t>
      </w:r>
    </w:p>
    <w:p>
      <w:pPr>
        <w:pStyle w:val="BodyText"/>
        <w:ind w:left="482"/>
        <w:spacing w:before="182" w:line="220" w:lineRule="auto"/>
        <w:rPr/>
      </w:pPr>
      <w:r>
        <w:rPr>
          <w:spacing w:val="-12"/>
        </w:rPr>
        <w:t>局部均衡与一般均衡，消费或交换的均衡、消费契约线，生产的均衡、生产契</w:t>
      </w:r>
    </w:p>
    <w:p>
      <w:pPr>
        <w:spacing w:line="220" w:lineRule="auto"/>
        <w:sectPr>
          <w:pgSz w:w="11907" w:h="16839"/>
          <w:pgMar w:top="1431" w:right="1705" w:bottom="0" w:left="1785" w:header="0" w:footer="0" w:gutter="0"/>
        </w:sectPr>
        <w:rPr/>
      </w:pPr>
    </w:p>
    <w:p>
      <w:pPr>
        <w:pStyle w:val="BodyText"/>
        <w:ind w:left="26" w:right="178" w:firstLine="2"/>
        <w:spacing w:before="125" w:line="351" w:lineRule="auto"/>
        <w:jc w:val="both"/>
        <w:rPr/>
      </w:pPr>
      <w:r>
        <w:rPr>
          <w:spacing w:val="-12"/>
        </w:rPr>
        <w:t>约线，消费与生产的一般均衡；福利经济学的性质，帕累托改进与最优</w:t>
      </w:r>
      <w:r>
        <w:rPr>
          <w:spacing w:val="-13"/>
        </w:rPr>
        <w:t>，效用可能</w:t>
      </w:r>
      <w:r>
        <w:rPr/>
        <w:t xml:space="preserve"> </w:t>
      </w:r>
      <w:r>
        <w:rPr>
          <w:spacing w:val="-12"/>
        </w:rPr>
        <w:t>性边界，社会福利函数、社会福利最大化。完全竞争符合帕雷托最优状态。公</w:t>
      </w:r>
      <w:r>
        <w:rPr>
          <w:spacing w:val="-13"/>
        </w:rPr>
        <w:t>平与</w:t>
      </w:r>
      <w:r>
        <w:rPr/>
        <w:t xml:space="preserve"> </w:t>
      </w:r>
      <w:r>
        <w:rPr>
          <w:spacing w:val="-12"/>
        </w:rPr>
        <w:t>效率，福利经济学第一定理。</w:t>
      </w:r>
    </w:p>
    <w:p>
      <w:pPr>
        <w:pStyle w:val="BodyText"/>
        <w:ind w:left="480"/>
        <w:spacing w:before="34" w:line="220" w:lineRule="auto"/>
        <w:rPr/>
      </w:pPr>
      <w:r>
        <w:rPr>
          <w:rFonts w:ascii="Times New Roman" w:hAnsi="Times New Roman" w:eastAsia="Times New Roman" w:cs="Times New Roman"/>
          <w:spacing w:val="-11"/>
        </w:rPr>
        <w:t>9</w:t>
      </w:r>
      <w:r>
        <w:rPr>
          <w:spacing w:val="-11"/>
        </w:rPr>
        <w:t>．市场失灵与微观经济政策</w:t>
      </w:r>
    </w:p>
    <w:p>
      <w:pPr>
        <w:pStyle w:val="BodyText"/>
        <w:ind w:left="22" w:right="23" w:firstLine="463"/>
        <w:spacing w:before="181" w:line="355" w:lineRule="auto"/>
        <w:rPr/>
      </w:pPr>
      <w:r>
        <w:rPr>
          <w:spacing w:val="-18"/>
        </w:rPr>
        <w:t>市场失灵与表现、原因，</w:t>
      </w:r>
      <w:r>
        <w:rPr>
          <w:spacing w:val="-67"/>
        </w:rPr>
        <w:t xml:space="preserve"> </w:t>
      </w:r>
      <w:r>
        <w:rPr>
          <w:spacing w:val="-18"/>
        </w:rPr>
        <w:t>政府的作用；</w:t>
      </w:r>
      <w:r>
        <w:rPr>
          <w:spacing w:val="-38"/>
        </w:rPr>
        <w:t xml:space="preserve"> </w:t>
      </w:r>
      <w:r>
        <w:rPr>
          <w:spacing w:val="-18"/>
        </w:rPr>
        <w:t>公共物品与市场失灵、政府的作用</w:t>
      </w:r>
      <w:r>
        <w:rPr>
          <w:spacing w:val="-19"/>
        </w:rPr>
        <w:t>方式；</w:t>
      </w:r>
      <w:r>
        <w:rPr/>
        <w:t xml:space="preserve"> </w:t>
      </w:r>
      <w:r>
        <w:rPr>
          <w:spacing w:val="-12"/>
        </w:rPr>
        <w:t>垄断与低效率，寻租，政府对垄断的公共管制，反垄断法案与政策；外部性正效应</w:t>
      </w:r>
      <w:r>
        <w:rPr>
          <w:spacing w:val="1"/>
        </w:rPr>
        <w:t xml:space="preserve">  </w:t>
      </w:r>
      <w:r>
        <w:rPr>
          <w:spacing w:val="-12"/>
        </w:rPr>
        <w:t>与负效应，政府针对外部性的政策，科斯定理、交易费用和产权界定；公共物品和</w:t>
      </w:r>
      <w:r>
        <w:rPr>
          <w:spacing w:val="2"/>
        </w:rPr>
        <w:t xml:space="preserve">  </w:t>
      </w:r>
      <w:r>
        <w:rPr>
          <w:spacing w:val="-12"/>
        </w:rPr>
        <w:t>公共资源，信息不对称，“柠檬”市场，道德风险；收入分配中的不平等：初次收</w:t>
      </w:r>
      <w:r>
        <w:rPr>
          <w:spacing w:val="1"/>
        </w:rPr>
        <w:t xml:space="preserve">  </w:t>
      </w:r>
      <w:r>
        <w:rPr>
          <w:spacing w:val="-12"/>
        </w:rPr>
        <w:t>入分配及及不平等，收入不平等的度量，收入再分配政策。</w:t>
      </w:r>
    </w:p>
    <w:p>
      <w:pPr>
        <w:pStyle w:val="BodyText"/>
        <w:ind w:left="479"/>
        <w:spacing w:before="33" w:line="220" w:lineRule="auto"/>
        <w:rPr/>
      </w:pPr>
      <w:r>
        <w:rPr>
          <w:spacing w:val="-10"/>
        </w:rPr>
        <w:t>宏观经济学部分</w:t>
      </w:r>
    </w:p>
    <w:p>
      <w:pPr>
        <w:pStyle w:val="BodyText"/>
        <w:ind w:left="498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12"/>
        </w:rPr>
        <w:t>1</w:t>
      </w:r>
      <w:r>
        <w:rPr>
          <w:spacing w:val="-12"/>
        </w:rPr>
        <w:t>．国民收入的核算与循环</w:t>
      </w:r>
    </w:p>
    <w:p>
      <w:pPr>
        <w:pStyle w:val="BodyText"/>
        <w:ind w:left="22" w:right="19" w:firstLine="455"/>
        <w:spacing w:before="184" w:line="353" w:lineRule="auto"/>
        <w:rPr/>
      </w:pPr>
      <w:r>
        <w:rPr>
          <w:rFonts w:ascii="Times New Roman" w:hAnsi="Times New Roman" w:eastAsia="Times New Roman" w:cs="Times New Roman"/>
          <w:spacing w:val="-9"/>
        </w:rPr>
        <w:t>GDP  </w:t>
      </w:r>
      <w:r>
        <w:rPr>
          <w:spacing w:val="-9"/>
        </w:rPr>
        <w:t>的核算：</w:t>
      </w:r>
      <w:r>
        <w:rPr>
          <w:rFonts w:ascii="Times New Roman" w:hAnsi="Times New Roman" w:eastAsia="Times New Roman" w:cs="Times New Roman"/>
          <w:spacing w:val="-9"/>
        </w:rPr>
        <w:t>GDP  </w:t>
      </w:r>
      <w:r>
        <w:rPr>
          <w:spacing w:val="-9"/>
        </w:rPr>
        <w:t>的定义，</w:t>
      </w:r>
      <w:r>
        <w:rPr>
          <w:rFonts w:ascii="Times New Roman" w:hAnsi="Times New Roman" w:eastAsia="Times New Roman" w:cs="Times New Roman"/>
          <w:spacing w:val="-9"/>
        </w:rPr>
        <w:t>GDP  </w:t>
      </w:r>
      <w:r>
        <w:rPr>
          <w:spacing w:val="-9"/>
        </w:rPr>
        <w:t>与 </w:t>
      </w:r>
      <w:r>
        <w:rPr>
          <w:rFonts w:ascii="Times New Roman" w:hAnsi="Times New Roman" w:eastAsia="Times New Roman" w:cs="Times New Roman"/>
          <w:spacing w:val="-9"/>
        </w:rPr>
        <w:t>GNP  </w:t>
      </w:r>
      <w:r>
        <w:rPr>
          <w:spacing w:val="-9"/>
        </w:rPr>
        <w:t>的区别联系，名义 </w:t>
      </w:r>
      <w:r>
        <w:rPr>
          <w:rFonts w:ascii="Times New Roman" w:hAnsi="Times New Roman" w:eastAsia="Times New Roman" w:cs="Times New Roman"/>
          <w:spacing w:val="-9"/>
        </w:rPr>
        <w:t>GDP  </w:t>
      </w:r>
      <w:r>
        <w:rPr>
          <w:spacing w:val="-9"/>
        </w:rPr>
        <w:t>、实际</w:t>
      </w:r>
      <w:r>
        <w:rPr>
          <w:spacing w:val="1"/>
        </w:rPr>
        <w:t xml:space="preserve">   </w:t>
      </w:r>
      <w:r>
        <w:rPr>
          <w:rFonts w:ascii="Times New Roman" w:hAnsi="Times New Roman" w:eastAsia="Times New Roman" w:cs="Times New Roman"/>
          <w:spacing w:val="-9"/>
        </w:rPr>
        <w:t>GDP </w:t>
      </w:r>
      <w:r>
        <w:rPr>
          <w:spacing w:val="-9"/>
        </w:rPr>
        <w:t>和潜在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GDP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9"/>
        </w:rPr>
        <w:t>，</w:t>
      </w:r>
      <w:r>
        <w:rPr>
          <w:rFonts w:ascii="Times New Roman" w:hAnsi="Times New Roman" w:eastAsia="Times New Roman" w:cs="Times New Roman"/>
          <w:spacing w:val="-9"/>
        </w:rPr>
        <w:t>GDP  </w:t>
      </w:r>
      <w:r>
        <w:rPr>
          <w:spacing w:val="-9"/>
        </w:rPr>
        <w:t>的核算方法；</w:t>
      </w:r>
      <w:r>
        <w:rPr>
          <w:rFonts w:ascii="Times New Roman" w:hAnsi="Times New Roman" w:eastAsia="Times New Roman" w:cs="Times New Roman"/>
          <w:spacing w:val="-9"/>
        </w:rPr>
        <w:t>GDP  </w:t>
      </w:r>
      <w:r>
        <w:rPr>
          <w:spacing w:val="-9"/>
        </w:rPr>
        <w:t>的分解</w:t>
      </w:r>
      <w:r>
        <w:rPr>
          <w:spacing w:val="-10"/>
        </w:rPr>
        <w:t>：国民收入，个人可支配收入；</w:t>
      </w:r>
      <w:r>
        <w:rPr/>
        <w:t xml:space="preserve"> </w:t>
      </w:r>
      <w:r>
        <w:rPr>
          <w:spacing w:val="-14"/>
        </w:rPr>
        <w:t>国民收入的循环与循环流程图；价格水平及其衡量，失业及其衡量，宏观经济问题：</w:t>
      </w:r>
      <w:r>
        <w:rPr>
          <w:spacing w:val="7"/>
        </w:rPr>
        <w:t xml:space="preserve"> </w:t>
      </w:r>
      <w:r>
        <w:rPr>
          <w:spacing w:val="-12"/>
        </w:rPr>
        <w:t>失业问题，通货膨胀，滞涨，经济增长。</w:t>
      </w:r>
    </w:p>
    <w:p>
      <w:pPr>
        <w:pStyle w:val="BodyText"/>
        <w:ind w:left="475"/>
        <w:spacing w:before="35" w:line="219" w:lineRule="auto"/>
        <w:rPr/>
      </w:pPr>
      <w:r>
        <w:rPr>
          <w:rFonts w:ascii="Times New Roman" w:hAnsi="Times New Roman" w:eastAsia="Times New Roman" w:cs="Times New Roman"/>
          <w:spacing w:val="-10"/>
        </w:rPr>
        <w:t>2</w:t>
      </w:r>
      <w:r>
        <w:rPr>
          <w:spacing w:val="-10"/>
        </w:rPr>
        <w:t>．简单国民收入决定理论</w:t>
      </w:r>
    </w:p>
    <w:p>
      <w:pPr>
        <w:pStyle w:val="BodyText"/>
        <w:ind w:left="29" w:right="177" w:firstLine="456"/>
        <w:spacing w:before="183" w:line="351" w:lineRule="auto"/>
        <w:rPr/>
      </w:pPr>
      <w:r>
        <w:rPr>
          <w:spacing w:val="-12"/>
        </w:rPr>
        <w:t>总支出的构成，消费函数与储蓄函数，投资和资本边际效率，投资函</w:t>
      </w:r>
      <w:r>
        <w:rPr>
          <w:spacing w:val="-13"/>
        </w:rPr>
        <w:t>数；国民</w:t>
      </w:r>
      <w:r>
        <w:rPr/>
        <w:t xml:space="preserve"> </w:t>
      </w:r>
      <w:r>
        <w:rPr>
          <w:spacing w:val="-12"/>
        </w:rPr>
        <w:t>收入的均衡，自动均衡的调整过程；国民收入的变动</w:t>
      </w:r>
      <w:r>
        <w:rPr>
          <w:spacing w:val="-13"/>
        </w:rPr>
        <w:t>，乘数理论，引致投资与加速</w:t>
      </w:r>
      <w:r>
        <w:rPr/>
        <w:t xml:space="preserve"> </w:t>
      </w:r>
      <w:r>
        <w:rPr>
          <w:spacing w:val="-13"/>
        </w:rPr>
        <w:t>原理；失业缺口与紧缩缺口，均衡的调整与充分就</w:t>
      </w:r>
      <w:r>
        <w:rPr>
          <w:spacing w:val="-14"/>
        </w:rPr>
        <w:t>业。</w:t>
      </w:r>
    </w:p>
    <w:p>
      <w:pPr>
        <w:pStyle w:val="BodyText"/>
        <w:ind w:left="480"/>
        <w:spacing w:before="35" w:line="219" w:lineRule="auto"/>
        <w:rPr/>
      </w:pPr>
      <w:r>
        <w:rPr>
          <w:rFonts w:ascii="Times New Roman" w:hAnsi="Times New Roman" w:eastAsia="Times New Roman" w:cs="Times New Roman"/>
          <w:spacing w:val="-10"/>
        </w:rPr>
        <w:t>3</w:t>
      </w:r>
      <w:r>
        <w:rPr>
          <w:spacing w:val="-10"/>
        </w:rPr>
        <w:t>．货币市场的均衡</w:t>
      </w:r>
    </w:p>
    <w:p>
      <w:pPr>
        <w:pStyle w:val="BodyText"/>
        <w:ind w:left="23" w:right="178" w:firstLine="461"/>
        <w:spacing w:before="181" w:line="355" w:lineRule="auto"/>
        <w:rPr/>
      </w:pPr>
      <w:r>
        <w:rPr>
          <w:spacing w:val="-12"/>
        </w:rPr>
        <w:t>货币的定义与货币市场；货币需求，剑桥方程、费雪方程，凯恩斯</w:t>
      </w:r>
      <w:r>
        <w:rPr>
          <w:spacing w:val="-13"/>
        </w:rPr>
        <w:t>货币需求的</w:t>
      </w:r>
      <w:r>
        <w:rPr/>
        <w:t xml:space="preserve"> </w:t>
      </w:r>
      <w:r>
        <w:rPr>
          <w:spacing w:val="-12"/>
        </w:rPr>
        <w:t>三种动机，货币的总需求（函数）；货币供给，现代银行制度，中央银行的职能，</w:t>
      </w:r>
      <w:r>
        <w:rPr>
          <w:spacing w:val="1"/>
        </w:rPr>
        <w:t xml:space="preserve"> </w:t>
      </w:r>
      <w:r>
        <w:rPr>
          <w:spacing w:val="-12"/>
        </w:rPr>
        <w:t>准备金，商业银行的货币创造过程，货币供给与银行乘数、基础货币；货币市场的</w:t>
      </w:r>
      <w:r>
        <w:rPr>
          <w:spacing w:val="1"/>
        </w:rPr>
        <w:t xml:space="preserve"> </w:t>
      </w:r>
      <w:r>
        <w:rPr>
          <w:spacing w:val="-12"/>
        </w:rPr>
        <w:t>自动均衡过程，货币供求变动对货币市场均衡的影响；从货币市场到最终产品市场</w:t>
      </w:r>
      <w:r>
        <w:rPr>
          <w:spacing w:val="1"/>
        </w:rPr>
        <w:t xml:space="preserve"> </w:t>
      </w:r>
      <w:r>
        <w:rPr>
          <w:spacing w:val="-15"/>
        </w:rPr>
        <w:t>的传导机制。</w:t>
      </w:r>
    </w:p>
    <w:p>
      <w:pPr>
        <w:pStyle w:val="BodyText"/>
        <w:ind w:left="474"/>
        <w:spacing w:before="36" w:line="219" w:lineRule="auto"/>
        <w:rPr/>
      </w:pPr>
      <w:r>
        <w:rPr>
          <w:rFonts w:ascii="Times New Roman" w:hAnsi="Times New Roman" w:eastAsia="Times New Roman" w:cs="Times New Roman"/>
          <w:spacing w:val="-11"/>
        </w:rPr>
        <w:t>4</w:t>
      </w:r>
      <w:r>
        <w:rPr>
          <w:spacing w:val="-11"/>
        </w:rPr>
        <w:t>．产品市场与货币市场的一般均衡</w:t>
      </w:r>
    </w:p>
    <w:p>
      <w:pPr>
        <w:pStyle w:val="BodyText"/>
        <w:ind w:left="23" w:firstLine="452"/>
        <w:spacing w:before="181" w:line="352" w:lineRule="auto"/>
        <w:rPr/>
      </w:pPr>
      <w:r>
        <w:rPr>
          <w:rFonts w:ascii="Times New Roman" w:hAnsi="Times New Roman" w:eastAsia="Times New Roman" w:cs="Times New Roman"/>
          <w:spacing w:val="-15"/>
        </w:rPr>
        <w:t>IS  </w:t>
      </w:r>
      <w:r>
        <w:rPr>
          <w:spacing w:val="-15"/>
        </w:rPr>
        <w:t>方程与曲线、表达的意义，影响 </w:t>
      </w:r>
      <w:r>
        <w:rPr>
          <w:rFonts w:ascii="Times New Roman" w:hAnsi="Times New Roman" w:eastAsia="Times New Roman" w:cs="Times New Roman"/>
          <w:spacing w:val="-15"/>
        </w:rPr>
        <w:t>IS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>
          <w:spacing w:val="-15"/>
        </w:rPr>
        <w:t>曲线斜率和移动的因素、移动幅度；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LM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-11"/>
        </w:rPr>
        <w:t>方程与曲线、表达的意义， </w:t>
      </w:r>
      <w:r>
        <w:rPr>
          <w:rFonts w:ascii="Times New Roman" w:hAnsi="Times New Roman" w:eastAsia="Times New Roman" w:cs="Times New Roman"/>
          <w:spacing w:val="-11"/>
        </w:rPr>
        <w:t>LM  </w:t>
      </w:r>
      <w:r>
        <w:rPr>
          <w:spacing w:val="-11"/>
        </w:rPr>
        <w:t>曲线斜率及其影响因素、</w:t>
      </w:r>
      <w:r>
        <w:rPr>
          <w:rFonts w:ascii="Times New Roman" w:hAnsi="Times New Roman" w:eastAsia="Times New Roman" w:cs="Times New Roman"/>
          <w:spacing w:val="-11"/>
        </w:rPr>
        <w:t>LM  </w:t>
      </w:r>
      <w:r>
        <w:rPr>
          <w:spacing w:val="-11"/>
        </w:rPr>
        <w:t>曲线的移动；双重均</w:t>
      </w:r>
      <w:r>
        <w:rPr/>
        <w:t xml:space="preserve"> </w:t>
      </w:r>
      <w:r>
        <w:rPr>
          <w:spacing w:val="-13"/>
        </w:rPr>
        <w:t>衡的形成与均衡的变动，均衡变动的政策意义，“挤出”效</w:t>
      </w:r>
      <w:r>
        <w:rPr>
          <w:spacing w:val="-14"/>
        </w:rPr>
        <w:t>应及其原因；投资陷阱、</w:t>
      </w:r>
    </w:p>
    <w:p>
      <w:pPr>
        <w:spacing w:line="352" w:lineRule="auto"/>
        <w:sectPr>
          <w:pgSz w:w="11907" w:h="16839"/>
          <w:pgMar w:top="1431" w:right="1707" w:bottom="0" w:left="1785" w:header="0" w:footer="0" w:gutter="0"/>
        </w:sectPr>
        <w:rPr/>
      </w:pPr>
    </w:p>
    <w:p>
      <w:pPr>
        <w:pStyle w:val="BodyText"/>
        <w:ind w:left="27"/>
        <w:spacing w:before="123" w:line="220" w:lineRule="auto"/>
        <w:rPr/>
      </w:pPr>
      <w:r>
        <w:rPr>
          <w:spacing w:val="-15"/>
        </w:rPr>
        <w:t>灵活偏好陷阱。</w:t>
      </w:r>
    </w:p>
    <w:p>
      <w:pPr>
        <w:pStyle w:val="BodyText"/>
        <w:ind w:left="481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11"/>
        </w:rPr>
        <w:t>5</w:t>
      </w:r>
      <w:r>
        <w:rPr>
          <w:spacing w:val="-11"/>
        </w:rPr>
        <w:t>．总需求—总供给模型</w:t>
      </w:r>
    </w:p>
    <w:p>
      <w:pPr>
        <w:pStyle w:val="BodyText"/>
        <w:ind w:left="23" w:right="58" w:firstLine="456"/>
        <w:spacing w:before="182" w:line="355" w:lineRule="auto"/>
        <w:rPr/>
      </w:pPr>
      <w:r>
        <w:rPr>
          <w:spacing w:val="-12"/>
        </w:rPr>
        <w:t>剑桥效应与古典货币理论，古典的劳动供求函数与古典的总供给曲线；凯恩斯</w:t>
      </w:r>
      <w:r>
        <w:rPr/>
        <w:t xml:space="preserve">  </w:t>
      </w:r>
      <w:r>
        <w:rPr>
          <w:spacing w:val="-12"/>
        </w:rPr>
        <w:t>效应与凯恩斯总需求曲线，凯恩斯劳动供求理论、刚性工资与货币幻觉，凯恩斯的</w:t>
      </w:r>
      <w:r>
        <w:rPr/>
        <w:t xml:space="preserve">  </w:t>
      </w:r>
      <w:r>
        <w:rPr>
          <w:spacing w:val="-12"/>
        </w:rPr>
        <w:t>总供给曲线，新古典综合派的总供给曲线；三重均衡模型，投资陷阱与灵活偏好陷</w:t>
      </w:r>
      <w:r>
        <w:rPr/>
        <w:t xml:space="preserve">  </w:t>
      </w:r>
      <w:r>
        <w:rPr>
          <w:spacing w:val="-12"/>
        </w:rPr>
        <w:t>阱两个特例；长期总供给曲线， 工资粘性与短期总供给曲线，长短期</w:t>
      </w:r>
      <w:r>
        <w:rPr>
          <w:spacing w:val="-13"/>
        </w:rPr>
        <w:t>总供给曲线的</w:t>
      </w:r>
      <w:r>
        <w:rPr/>
        <w:t xml:space="preserve"> </w:t>
      </w:r>
      <w:r>
        <w:rPr>
          <w:spacing w:val="-15"/>
        </w:rPr>
        <w:t>运用及意义。</w:t>
      </w:r>
    </w:p>
    <w:p>
      <w:pPr>
        <w:pStyle w:val="BodyText"/>
        <w:ind w:left="480"/>
        <w:spacing w:before="34" w:line="219" w:lineRule="auto"/>
        <w:rPr/>
      </w:pPr>
      <w:r>
        <w:rPr>
          <w:rFonts w:ascii="Times New Roman" w:hAnsi="Times New Roman" w:eastAsia="Times New Roman" w:cs="Times New Roman"/>
          <w:spacing w:val="-10"/>
        </w:rPr>
        <w:t>6</w:t>
      </w:r>
      <w:r>
        <w:rPr>
          <w:spacing w:val="-10"/>
        </w:rPr>
        <w:t>．失业与通货膨胀</w:t>
      </w:r>
    </w:p>
    <w:p>
      <w:pPr>
        <w:pStyle w:val="BodyText"/>
        <w:ind w:left="23" w:right="159" w:firstLine="461"/>
        <w:spacing w:before="185" w:line="353" w:lineRule="auto"/>
        <w:rPr/>
      </w:pPr>
      <w:r>
        <w:rPr>
          <w:spacing w:val="-12"/>
        </w:rPr>
        <w:t>失业与失业的类型，自然失业率，充分就业与失业，失业的代价，</w:t>
      </w:r>
      <w:r>
        <w:rPr>
          <w:spacing w:val="-13"/>
        </w:rPr>
        <w:t>奥肯定律；</w:t>
      </w:r>
      <w:r>
        <w:rPr/>
        <w:t xml:space="preserve"> </w:t>
      </w:r>
      <w:r>
        <w:rPr>
          <w:spacing w:val="-12"/>
        </w:rPr>
        <w:t>通货膨胀及其测度、类型，需求拉动的通货膨胀，成本推进的通货膨胀，结构性通</w:t>
      </w:r>
      <w:r>
        <w:rPr>
          <w:spacing w:val="1"/>
        </w:rPr>
        <w:t xml:space="preserve"> </w:t>
      </w:r>
      <w:r>
        <w:rPr>
          <w:spacing w:val="-12"/>
        </w:rPr>
        <w:t>货膨胀，通货膨胀对经济社会的影响；菲利普斯曲线，临界点，菲利普斯曲线的恶</w:t>
      </w:r>
      <w:r>
        <w:rPr>
          <w:spacing w:val="1"/>
        </w:rPr>
        <w:t xml:space="preserve"> </w:t>
      </w:r>
      <w:r>
        <w:rPr>
          <w:spacing w:val="-14"/>
        </w:rPr>
        <w:t>化，长短期菲利普斯曲线。</w:t>
      </w:r>
    </w:p>
    <w:p>
      <w:pPr>
        <w:pStyle w:val="BodyText"/>
        <w:ind w:left="479"/>
        <w:spacing w:before="34" w:line="220" w:lineRule="auto"/>
        <w:rPr/>
      </w:pPr>
      <w:r>
        <w:rPr>
          <w:rFonts w:ascii="Times New Roman" w:hAnsi="Times New Roman" w:eastAsia="Times New Roman" w:cs="Times New Roman"/>
          <w:spacing w:val="-11"/>
        </w:rPr>
        <w:t>7</w:t>
      </w:r>
      <w:r>
        <w:rPr>
          <w:spacing w:val="-11"/>
        </w:rPr>
        <w:t>．宏观经济政策分析与实践</w:t>
      </w:r>
    </w:p>
    <w:p>
      <w:pPr>
        <w:pStyle w:val="BodyText"/>
        <w:ind w:left="23" w:firstLine="455"/>
        <w:spacing w:before="183" w:line="357" w:lineRule="auto"/>
        <w:rPr/>
      </w:pPr>
      <w:r>
        <w:rPr>
          <w:spacing w:val="-12"/>
        </w:rPr>
        <w:t>宏观经济政策目标：充分就业，稳定物价，经济增长，国际收支平衡。财政政</w:t>
      </w:r>
      <w:r>
        <w:rPr/>
        <w:t xml:space="preserve">  </w:t>
      </w:r>
      <w:r>
        <w:rPr>
          <w:spacing w:val="-12"/>
        </w:rPr>
        <w:t>策：自动的财政政策（稳定器）；相机抉择的财政政策：扩张性财政政策、紧缩性</w:t>
      </w:r>
      <w:r>
        <w:rPr/>
        <w:t xml:space="preserve">  </w:t>
      </w:r>
      <w:r>
        <w:rPr>
          <w:spacing w:val="-12"/>
        </w:rPr>
        <w:t>财政政策，充分就业时的财政赤字（盈余），财政赤字弥补，财政赤字的货币化及</w:t>
      </w:r>
      <w:r>
        <w:rPr/>
        <w:t xml:space="preserve">  </w:t>
      </w:r>
      <w:r>
        <w:rPr>
          <w:spacing w:val="-12"/>
        </w:rPr>
        <w:t>与通货膨胀关系；货币政策：货币政策工具及其运用，货币政策的传导机制，扩张</w:t>
      </w:r>
      <w:r>
        <w:rPr/>
        <w:t xml:space="preserve">  </w:t>
      </w:r>
      <w:r>
        <w:rPr>
          <w:spacing w:val="-15"/>
        </w:rPr>
        <w:t>性货币政策、紧缩性货币政策；货币政策与财政政策的效果：财政政策效果与 </w:t>
      </w:r>
      <w:r>
        <w:rPr>
          <w:rFonts w:ascii="Times New Roman" w:hAnsi="Times New Roman" w:eastAsia="Times New Roman" w:cs="Times New Roman"/>
          <w:spacing w:val="-15"/>
        </w:rPr>
        <w:t>IS</w:t>
      </w:r>
      <w:r>
        <w:rPr>
          <w:rFonts w:ascii="Times New Roman" w:hAnsi="Times New Roman" w:eastAsia="Times New Roman" w:cs="Times New Roman"/>
          <w:spacing w:val="11"/>
        </w:rPr>
        <w:t xml:space="preserve">  </w:t>
      </w:r>
      <w:r>
        <w:rPr>
          <w:spacing w:val="-15"/>
        </w:rPr>
        <w:t>曲</w:t>
      </w:r>
      <w:r>
        <w:rPr>
          <w:spacing w:val="1"/>
        </w:rPr>
        <w:t xml:space="preserve"> </w:t>
      </w:r>
      <w:r>
        <w:rPr>
          <w:spacing w:val="-18"/>
        </w:rPr>
        <w:t>线和 </w:t>
      </w:r>
      <w:r>
        <w:rPr>
          <w:rFonts w:ascii="Times New Roman" w:hAnsi="Times New Roman" w:eastAsia="Times New Roman" w:cs="Times New Roman"/>
          <w:spacing w:val="-18"/>
        </w:rPr>
        <w:t>LM</w:t>
      </w:r>
      <w:r>
        <w:rPr>
          <w:rFonts w:ascii="Times New Roman" w:hAnsi="Times New Roman" w:eastAsia="Times New Roman" w:cs="Times New Roman"/>
          <w:spacing w:val="10"/>
        </w:rPr>
        <w:t xml:space="preserve">  </w:t>
      </w:r>
      <w:r>
        <w:rPr>
          <w:spacing w:val="-18"/>
        </w:rPr>
        <w:t>曲线斜率，财政政策挤出效应；货</w:t>
      </w:r>
      <w:r>
        <w:rPr>
          <w:spacing w:val="-19"/>
        </w:rPr>
        <w:t>币政策效果与 </w:t>
      </w:r>
      <w:r>
        <w:rPr>
          <w:rFonts w:ascii="Times New Roman" w:hAnsi="Times New Roman" w:eastAsia="Times New Roman" w:cs="Times New Roman"/>
          <w:spacing w:val="-19"/>
        </w:rPr>
        <w:t>IS</w:t>
      </w:r>
      <w:r>
        <w:rPr>
          <w:rFonts w:ascii="Times New Roman" w:hAnsi="Times New Roman" w:eastAsia="Times New Roman" w:cs="Times New Roman"/>
          <w:spacing w:val="11"/>
        </w:rPr>
        <w:t xml:space="preserve">  </w:t>
      </w:r>
      <w:r>
        <w:rPr>
          <w:spacing w:val="-19"/>
        </w:rPr>
        <w:t>曲线和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19"/>
        </w:rPr>
        <w:t>LM</w:t>
      </w:r>
      <w:r>
        <w:rPr>
          <w:rFonts w:ascii="Times New Roman" w:hAnsi="Times New Roman" w:eastAsia="Times New Roman" w:cs="Times New Roman"/>
          <w:spacing w:val="12"/>
        </w:rPr>
        <w:t xml:space="preserve">  </w:t>
      </w:r>
      <w:r>
        <w:rPr>
          <w:spacing w:val="-19"/>
        </w:rPr>
        <w:t>曲线斜率，</w:t>
      </w:r>
      <w:r>
        <w:rPr/>
        <w:t xml:space="preserve"> </w:t>
      </w:r>
      <w:r>
        <w:rPr>
          <w:spacing w:val="-14"/>
        </w:rPr>
        <w:t>古典区域与财政政策无效，凯恩斯区域（流动性陷阱）、投资陷阱与货币政策无效，</w:t>
      </w:r>
      <w:r>
        <w:rPr>
          <w:spacing w:val="7"/>
        </w:rPr>
        <w:t xml:space="preserve"> </w:t>
      </w:r>
      <w:r>
        <w:rPr>
          <w:spacing w:val="-12"/>
        </w:rPr>
        <w:t>折衷的观点与政策有效区间；宏观经济政策实施中的时滞，财政政策与货币政策的</w:t>
      </w:r>
      <w:r>
        <w:rPr/>
        <w:t xml:space="preserve">  </w:t>
      </w:r>
      <w:r>
        <w:rPr>
          <w:spacing w:val="-12"/>
        </w:rPr>
        <w:t>配合；量化宽松货币政策及其实践，结构性货币政策工具。</w:t>
      </w:r>
    </w:p>
    <w:p>
      <w:pPr>
        <w:pStyle w:val="BodyText"/>
        <w:ind w:left="485"/>
        <w:spacing w:before="36" w:line="220" w:lineRule="auto"/>
        <w:rPr/>
      </w:pPr>
      <w:r>
        <w:rPr>
          <w:rFonts w:ascii="Times New Roman" w:hAnsi="Times New Roman" w:eastAsia="Times New Roman" w:cs="Times New Roman"/>
          <w:spacing w:val="-11"/>
        </w:rPr>
        <w:t>8</w:t>
      </w:r>
      <w:r>
        <w:rPr>
          <w:spacing w:val="-11"/>
        </w:rPr>
        <w:t>．经济增长和经济周期理论</w:t>
      </w:r>
    </w:p>
    <w:p>
      <w:pPr>
        <w:pStyle w:val="BodyText"/>
        <w:ind w:left="24" w:right="159" w:firstLine="456"/>
        <w:spacing w:before="183" w:line="353" w:lineRule="auto"/>
        <w:rPr/>
      </w:pPr>
      <w:r>
        <w:rPr>
          <w:spacing w:val="-12"/>
        </w:rPr>
        <w:t>经济增长和经济发展；哈罗德—多马经济增长模型与经济增长的不稳定原理；</w:t>
      </w:r>
      <w:r>
        <w:rPr/>
        <w:t xml:space="preserve"> </w:t>
      </w:r>
      <w:r>
        <w:rPr>
          <w:spacing w:val="-12"/>
        </w:rPr>
        <w:t>新古典学派的索罗经济增长模型，索洛剩余与技术进步的测度；新剑桥学派的经济</w:t>
      </w:r>
      <w:r>
        <w:rPr/>
        <w:t xml:space="preserve"> </w:t>
      </w:r>
      <w:r>
        <w:rPr>
          <w:spacing w:val="-12"/>
        </w:rPr>
        <w:t>增长模型与收入分配；经济周期的含义与特征，经济周期理论的简要回顾，类型及</w:t>
      </w:r>
      <w:r>
        <w:rPr/>
        <w:t xml:space="preserve"> </w:t>
      </w:r>
      <w:r>
        <w:rPr>
          <w:spacing w:val="-13"/>
        </w:rPr>
        <w:t>其阶段，短周期、长周期、中周期，乘数—加速数经济模型。</w:t>
      </w:r>
    </w:p>
    <w:p>
      <w:pPr>
        <w:pStyle w:val="BodyText"/>
        <w:ind w:left="480"/>
        <w:spacing w:before="34" w:line="220" w:lineRule="auto"/>
        <w:rPr/>
      </w:pPr>
      <w:r>
        <w:rPr>
          <w:rFonts w:ascii="Times New Roman" w:hAnsi="Times New Roman" w:eastAsia="Times New Roman" w:cs="Times New Roman"/>
          <w:spacing w:val="-11"/>
        </w:rPr>
        <w:t>9</w:t>
      </w:r>
      <w:r>
        <w:rPr>
          <w:spacing w:val="-11"/>
        </w:rPr>
        <w:t>．宏观经济学在目前的争论与共识</w:t>
      </w:r>
    </w:p>
    <w:p>
      <w:pPr>
        <w:pStyle w:val="BodyText"/>
        <w:ind w:left="482"/>
        <w:spacing w:before="183" w:line="219" w:lineRule="auto"/>
        <w:rPr/>
      </w:pPr>
      <w:r>
        <w:rPr>
          <w:spacing w:val="-12"/>
        </w:rPr>
        <w:t>从菲利普斯曲线到总供给曲线；新古典宏观经济学的理论渊源；新古典宏观经</w:t>
      </w:r>
    </w:p>
    <w:p>
      <w:pPr>
        <w:spacing w:line="219" w:lineRule="auto"/>
        <w:sectPr>
          <w:pgSz w:w="11907" w:h="16839"/>
          <w:pgMar w:top="1431" w:right="1726" w:bottom="0" w:left="1785" w:header="0" w:footer="0" w:gutter="0"/>
        </w:sectPr>
        <w:rPr/>
      </w:pPr>
    </w:p>
    <w:p>
      <w:pPr>
        <w:pStyle w:val="BodyText"/>
        <w:ind w:left="23" w:right="151"/>
        <w:spacing w:before="124" w:line="351" w:lineRule="auto"/>
        <w:jc w:val="both"/>
        <w:rPr/>
      </w:pPr>
      <w:r>
        <w:rPr>
          <w:spacing w:val="-11"/>
        </w:rPr>
        <w:t>济学的基本假设；一个新古典宏观经济学的 </w:t>
      </w:r>
      <w:r>
        <w:rPr>
          <w:rFonts w:ascii="Times New Roman" w:hAnsi="Times New Roman" w:eastAsia="Times New Roman" w:cs="Times New Roman"/>
          <w:spacing w:val="-11"/>
        </w:rPr>
        <w:t>AD-AS</w:t>
      </w:r>
      <w:r>
        <w:rPr>
          <w:rFonts w:ascii="Times New Roman" w:hAnsi="Times New Roman" w:eastAsia="Times New Roman" w:cs="Times New Roman"/>
          <w:spacing w:val="53"/>
        </w:rPr>
        <w:t xml:space="preserve"> </w:t>
      </w:r>
      <w:r>
        <w:rPr>
          <w:spacing w:val="-11"/>
        </w:rPr>
        <w:t>模</w:t>
      </w:r>
      <w:r>
        <w:rPr>
          <w:spacing w:val="-12"/>
        </w:rPr>
        <w:t>型；新凯恩斯主义形成的理</w:t>
      </w:r>
      <w:r>
        <w:rPr/>
        <w:t xml:space="preserve"> </w:t>
      </w:r>
      <w:r>
        <w:rPr>
          <w:spacing w:val="-11"/>
        </w:rPr>
        <w:t>论背景和特征；名义黏性；一个新凯恩斯主义的 </w:t>
      </w:r>
      <w:r>
        <w:rPr>
          <w:rFonts w:ascii="Times New Roman" w:hAnsi="Times New Roman" w:eastAsia="Times New Roman" w:cs="Times New Roman"/>
          <w:spacing w:val="-11"/>
        </w:rPr>
        <w:t>AD-AS</w:t>
      </w:r>
      <w:r>
        <w:rPr>
          <w:rFonts w:ascii="Times New Roman" w:hAnsi="Times New Roman" w:eastAsia="Times New Roman" w:cs="Times New Roman"/>
          <w:spacing w:val="53"/>
        </w:rPr>
        <w:t xml:space="preserve"> </w:t>
      </w:r>
      <w:r>
        <w:rPr>
          <w:spacing w:val="-12"/>
        </w:rPr>
        <w:t>模型；目前宏观经济学的</w:t>
      </w:r>
      <w:r>
        <w:rPr/>
        <w:t xml:space="preserve"> </w:t>
      </w:r>
      <w:r>
        <w:rPr>
          <w:spacing w:val="-15"/>
        </w:rPr>
        <w:t>基本共识。</w:t>
      </w:r>
    </w:p>
    <w:p>
      <w:pPr>
        <w:ind w:left="38"/>
        <w:spacing w:before="35" w:line="218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四、考试题型及比例（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150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3"/>
        </w:rPr>
        <w:t>分）</w:t>
      </w:r>
    </w:p>
    <w:p>
      <w:pPr>
        <w:pStyle w:val="BodyText"/>
        <w:ind w:left="498"/>
        <w:spacing w:before="183" w:line="220" w:lineRule="auto"/>
        <w:rPr/>
      </w:pPr>
      <w:r>
        <w:rPr>
          <w:rFonts w:ascii="Times New Roman" w:hAnsi="Times New Roman" w:eastAsia="Times New Roman" w:cs="Times New Roman"/>
          <w:spacing w:val="-11"/>
        </w:rPr>
        <w:t>1</w:t>
      </w:r>
      <w:r>
        <w:rPr>
          <w:spacing w:val="-11"/>
        </w:rPr>
        <w:t>．名词解释（</w:t>
      </w:r>
      <w:r>
        <w:rPr>
          <w:rFonts w:ascii="Times New Roman" w:hAnsi="Times New Roman" w:eastAsia="Times New Roman" w:cs="Times New Roman"/>
          <w:spacing w:val="-11"/>
        </w:rPr>
        <w:t>20 </w:t>
      </w:r>
      <w:r>
        <w:rPr>
          <w:spacing w:val="-11"/>
        </w:rPr>
        <w:t>分）</w:t>
      </w:r>
    </w:p>
    <w:p>
      <w:pPr>
        <w:pStyle w:val="BodyText"/>
        <w:ind w:left="475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9"/>
        </w:rPr>
        <w:t>2.</w:t>
      </w:r>
      <w:r>
        <w:rPr>
          <w:rFonts w:ascii="Times New Roman" w:hAnsi="Times New Roman" w:eastAsia="Times New Roman" w:cs="Times New Roman"/>
          <w:spacing w:val="15"/>
        </w:rPr>
        <w:t xml:space="preserve">   </w:t>
      </w:r>
      <w:r>
        <w:rPr>
          <w:spacing w:val="-9"/>
        </w:rPr>
        <w:t>简答或分析题（</w:t>
      </w:r>
      <w:r>
        <w:rPr>
          <w:rFonts w:ascii="Times New Roman" w:hAnsi="Times New Roman" w:eastAsia="Times New Roman" w:cs="Times New Roman"/>
          <w:spacing w:val="-9"/>
        </w:rPr>
        <w:t>60 </w:t>
      </w:r>
      <w:r>
        <w:rPr>
          <w:spacing w:val="-9"/>
        </w:rPr>
        <w:t>分）</w:t>
      </w:r>
    </w:p>
    <w:p>
      <w:pPr>
        <w:pStyle w:val="BodyText"/>
        <w:ind w:left="480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9"/>
        </w:rPr>
        <w:t>3</w:t>
      </w:r>
      <w:r>
        <w:rPr>
          <w:spacing w:val="-9"/>
        </w:rPr>
        <w:t>．计算题（</w:t>
      </w:r>
      <w:r>
        <w:rPr>
          <w:rFonts w:ascii="Times New Roman" w:hAnsi="Times New Roman" w:eastAsia="Times New Roman" w:cs="Times New Roman"/>
          <w:spacing w:val="-9"/>
        </w:rPr>
        <w:t>30  </w:t>
      </w:r>
      <w:r>
        <w:rPr>
          <w:spacing w:val="-9"/>
        </w:rPr>
        <w:t>分）</w:t>
      </w:r>
    </w:p>
    <w:p>
      <w:pPr>
        <w:pStyle w:val="BodyText"/>
        <w:ind w:left="30" w:right="5880" w:firstLine="443"/>
        <w:spacing w:before="183" w:line="290" w:lineRule="auto"/>
        <w:rPr>
          <w:rFonts w:ascii="SimHei" w:hAnsi="SimHei" w:eastAsia="SimHei" w:cs="SimHei"/>
        </w:rPr>
      </w:pPr>
      <w:r>
        <w:rPr>
          <w:rFonts w:ascii="Times New Roman" w:hAnsi="Times New Roman" w:eastAsia="Times New Roman" w:cs="Times New Roman"/>
          <w:spacing w:val="-10"/>
        </w:rPr>
        <w:t>4</w:t>
      </w:r>
      <w:r>
        <w:rPr>
          <w:spacing w:val="-10"/>
        </w:rPr>
        <w:t>．论述题（</w:t>
      </w:r>
      <w:r>
        <w:rPr>
          <w:rFonts w:ascii="Times New Roman" w:hAnsi="Times New Roman" w:eastAsia="Times New Roman" w:cs="Times New Roman"/>
          <w:spacing w:val="-10"/>
        </w:rPr>
        <w:t>40  </w:t>
      </w:r>
      <w:r>
        <w:rPr>
          <w:spacing w:val="-10"/>
        </w:rPr>
        <w:t>分）</w:t>
      </w:r>
      <w:r>
        <w:rPr/>
        <w:t xml:space="preserve"> </w:t>
      </w:r>
      <w:r>
        <w:rPr>
          <w:rFonts w:ascii="SimHei" w:hAnsi="SimHei" w:eastAsia="SimHei" w:cs="SimHei"/>
          <w:spacing w:val="-3"/>
        </w:rPr>
        <w:t>五、参考书目</w:t>
      </w:r>
    </w:p>
    <w:p>
      <w:pPr>
        <w:pStyle w:val="BodyText"/>
        <w:ind w:left="25" w:right="61" w:firstLine="472"/>
        <w:spacing w:before="184" w:line="289" w:lineRule="auto"/>
        <w:rPr/>
      </w:pPr>
      <w:r>
        <w:rPr>
          <w:rFonts w:ascii="Times New Roman" w:hAnsi="Times New Roman" w:eastAsia="Times New Roman" w:cs="Times New Roman"/>
          <w:spacing w:val="-13"/>
        </w:rPr>
        <w:t>1</w:t>
      </w:r>
      <w:r>
        <w:rPr>
          <w:spacing w:val="-13"/>
        </w:rPr>
        <w:t>．马克思主义理论研究和建设工程重点教材，《西方经济学》编写组：《西方</w:t>
      </w:r>
      <w:r>
        <w:rPr>
          <w:spacing w:val="8"/>
        </w:rPr>
        <w:t xml:space="preserve"> </w:t>
      </w:r>
      <w:r>
        <w:rPr>
          <w:spacing w:val="-11"/>
        </w:rPr>
        <w:t>经济学》（上、下册</w:t>
      </w:r>
      <w:r>
        <w:rPr>
          <w:spacing w:val="-12"/>
        </w:rPr>
        <w:t>），</w:t>
      </w:r>
      <w:r>
        <w:rPr>
          <w:spacing w:val="-11"/>
        </w:rPr>
        <w:t>高等教育出版社， </w:t>
      </w:r>
      <w:r>
        <w:rPr>
          <w:rFonts w:ascii="Times New Roman" w:hAnsi="Times New Roman" w:eastAsia="Times New Roman" w:cs="Times New Roman"/>
          <w:spacing w:val="-11"/>
        </w:rPr>
        <w:t>2019 </w:t>
      </w:r>
      <w:r>
        <w:rPr>
          <w:spacing w:val="-11"/>
        </w:rPr>
        <w:t>年第二版。（相近</w:t>
      </w:r>
      <w:r>
        <w:rPr>
          <w:spacing w:val="-12"/>
        </w:rPr>
        <w:t>版本亦可）</w:t>
      </w:r>
    </w:p>
    <w:p>
      <w:pPr>
        <w:pStyle w:val="BodyText"/>
        <w:ind w:left="19" w:firstLine="455"/>
        <w:spacing w:before="184" w:line="289" w:lineRule="auto"/>
        <w:rPr/>
      </w:pPr>
      <w:r>
        <w:rPr>
          <w:rFonts w:ascii="Times New Roman" w:hAnsi="Times New Roman" w:eastAsia="Times New Roman" w:cs="Times New Roman"/>
          <w:spacing w:val="-17"/>
        </w:rPr>
        <w:t>2</w:t>
      </w:r>
      <w:r>
        <w:rPr>
          <w:spacing w:val="-17"/>
        </w:rPr>
        <w:t>．高鸿业等：《西方经济学》（微观部分、宏观部分</w:t>
      </w:r>
      <w:r>
        <w:rPr>
          <w:spacing w:val="-12"/>
        </w:rPr>
        <w:t>），</w:t>
      </w:r>
      <w:r>
        <w:rPr>
          <w:spacing w:val="-17"/>
        </w:rPr>
        <w:t>中国人民大学出版社，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1"/>
        </w:rPr>
        <w:t>2018</w:t>
      </w:r>
      <w:r>
        <w:rPr>
          <w:rFonts w:ascii="Times New Roman" w:hAnsi="Times New Roman" w:eastAsia="Times New Roman" w:cs="Times New Roman"/>
          <w:spacing w:val="58"/>
        </w:rPr>
        <w:t xml:space="preserve"> </w:t>
      </w:r>
      <w:r>
        <w:rPr>
          <w:spacing w:val="-11"/>
        </w:rPr>
        <w:t>年第七版。（相近版本亦可）</w:t>
      </w:r>
    </w:p>
    <w:sectPr>
      <w:pgSz w:w="11907" w:h="16839"/>
      <w:pgMar w:top="1431" w:right="172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天津商业大学硕士生入学考试业务课程大纲</dc:title>
  <dc:creator>pgc</dc:creator>
  <dcterms:created xsi:type="dcterms:W3CDTF">2024-09-29T11:36:08Z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2024-10-11T22:23:11</vt:filetime>
  </property>
</Properties>
</file>