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59E43">
      <w:pPr>
        <w:spacing w:line="360" w:lineRule="auto"/>
        <w:jc w:val="center"/>
        <w:rPr>
          <w:b/>
          <w:bCs/>
          <w:sz w:val="36"/>
          <w:szCs w:val="36"/>
        </w:rPr>
      </w:pPr>
      <w:bookmarkStart w:id="4" w:name="_GoBack"/>
      <w:bookmarkEnd w:id="4"/>
      <w:r>
        <w:rPr>
          <w:rFonts w:eastAsia="黑体"/>
          <w:b/>
          <w:sz w:val="32"/>
          <w:szCs w:val="32"/>
        </w:rPr>
        <w:t>武汉工程大学202</w:t>
      </w:r>
      <w:r>
        <w:rPr>
          <w:rFonts w:hint="eastAsia" w:eastAsia="黑体"/>
          <w:b/>
          <w:sz w:val="32"/>
          <w:szCs w:val="32"/>
        </w:rPr>
        <w:t>5</w:t>
      </w:r>
      <w:r>
        <w:rPr>
          <w:rFonts w:eastAsia="黑体"/>
          <w:b/>
          <w:sz w:val="32"/>
          <w:szCs w:val="32"/>
        </w:rPr>
        <w:t>年硕士研究生</w:t>
      </w:r>
      <w:r>
        <w:rPr>
          <w:rFonts w:hint="eastAsia" w:eastAsia="黑体"/>
          <w:b/>
          <w:sz w:val="32"/>
          <w:szCs w:val="32"/>
        </w:rPr>
        <w:t>招生</w:t>
      </w:r>
      <w:r>
        <w:rPr>
          <w:rFonts w:eastAsia="黑体"/>
          <w:b/>
          <w:sz w:val="32"/>
          <w:szCs w:val="32"/>
        </w:rPr>
        <w:t>考试</w:t>
      </w:r>
    </w:p>
    <w:p w14:paraId="7718AEC4">
      <w:pPr>
        <w:spacing w:line="360" w:lineRule="auto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《生物化学》考试大纲</w:t>
      </w:r>
    </w:p>
    <w:p w14:paraId="3B668BC5">
      <w:pPr>
        <w:spacing w:line="360" w:lineRule="auto"/>
        <w:jc w:val="center"/>
        <w:rPr>
          <w:b/>
          <w:sz w:val="30"/>
          <w:szCs w:val="30"/>
        </w:rPr>
      </w:pPr>
    </w:p>
    <w:p w14:paraId="227BFB56">
      <w:pPr>
        <w:tabs>
          <w:tab w:val="left" w:pos="315"/>
          <w:tab w:val="left" w:pos="840"/>
          <w:tab w:val="left" w:pos="3990"/>
        </w:tabs>
        <w:spacing w:line="360" w:lineRule="auto"/>
        <w:rPr>
          <w:rFonts w:ascii="宋体" w:hAnsi="宋体"/>
          <w:b/>
          <w:sz w:val="24"/>
        </w:rPr>
      </w:pPr>
      <w:bookmarkStart w:id="0" w:name="_Hlk114646145"/>
      <w:bookmarkStart w:id="1" w:name="_Hlk114645727"/>
      <w:r>
        <w:rPr>
          <w:rFonts w:ascii="宋体" w:hAnsi="宋体"/>
          <w:b/>
          <w:sz w:val="24"/>
        </w:rPr>
        <w:t>一、基本信息</w:t>
      </w:r>
      <w:bookmarkEnd w:id="0"/>
    </w:p>
    <w:bookmarkEnd w:id="1"/>
    <w:p w14:paraId="390B50CE">
      <w:pPr>
        <w:tabs>
          <w:tab w:val="left" w:pos="840"/>
        </w:tabs>
        <w:spacing w:line="360" w:lineRule="auto"/>
        <w:ind w:firstLine="472" w:firstLineChars="196"/>
        <w:rPr>
          <w:sz w:val="24"/>
        </w:rPr>
      </w:pPr>
      <w:bookmarkStart w:id="2" w:name="_Hlk114645743"/>
      <w:r>
        <w:rPr>
          <w:b/>
          <w:bCs/>
          <w:sz w:val="24"/>
        </w:rPr>
        <w:t>名称</w:t>
      </w:r>
      <w:r>
        <w:rPr>
          <w:rFonts w:eastAsia="黑体"/>
          <w:sz w:val="24"/>
        </w:rPr>
        <w:t>：</w:t>
      </w:r>
      <w:bookmarkEnd w:id="2"/>
      <w:r>
        <w:rPr>
          <w:sz w:val="24"/>
        </w:rPr>
        <w:t>生物化学</w:t>
      </w:r>
    </w:p>
    <w:p w14:paraId="0593CC36">
      <w:pPr>
        <w:widowControl/>
        <w:spacing w:line="360" w:lineRule="auto"/>
        <w:ind w:firstLine="472" w:firstLineChars="196"/>
        <w:jc w:val="left"/>
        <w:rPr>
          <w:bCs/>
          <w:kern w:val="0"/>
          <w:sz w:val="24"/>
        </w:rPr>
      </w:pPr>
      <w:r>
        <w:rPr>
          <w:b/>
          <w:kern w:val="0"/>
          <w:sz w:val="24"/>
        </w:rPr>
        <w:t>教材：</w:t>
      </w:r>
      <w:r>
        <w:rPr>
          <w:rFonts w:hint="eastAsia"/>
          <w:bCs/>
          <w:kern w:val="0"/>
          <w:sz w:val="24"/>
        </w:rPr>
        <w:t>杨荣武主编《生物化学原理》 第三版，高等教育出版社，2018 年</w:t>
      </w:r>
    </w:p>
    <w:p w14:paraId="55C5A165">
      <w:pPr>
        <w:widowControl/>
        <w:spacing w:line="360" w:lineRule="auto"/>
        <w:jc w:val="left"/>
        <w:rPr>
          <w:rFonts w:hint="eastAsia"/>
          <w:b/>
          <w:kern w:val="0"/>
          <w:sz w:val="24"/>
        </w:rPr>
      </w:pPr>
    </w:p>
    <w:p w14:paraId="4C9CEE63">
      <w:pPr>
        <w:widowControl/>
        <w:spacing w:line="360" w:lineRule="auto"/>
        <w:jc w:val="left"/>
        <w:rPr>
          <w:b/>
          <w:kern w:val="0"/>
          <w:sz w:val="24"/>
        </w:rPr>
      </w:pPr>
      <w:r>
        <w:rPr>
          <w:b/>
          <w:kern w:val="0"/>
          <w:sz w:val="24"/>
        </w:rPr>
        <w:t>二、考试性质与要求</w:t>
      </w:r>
    </w:p>
    <w:p w14:paraId="2E163553">
      <w:pPr>
        <w:widowControl/>
        <w:spacing w:line="360" w:lineRule="auto"/>
        <w:ind w:firstLine="480" w:firstLineChars="200"/>
        <w:rPr>
          <w:kern w:val="0"/>
          <w:sz w:val="24"/>
        </w:rPr>
      </w:pPr>
      <w:r>
        <w:rPr>
          <w:sz w:val="24"/>
        </w:rPr>
        <w:t>本考试是全日制工业微生物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  <w:lang w:val="en-US" w:eastAsia="zh-CN"/>
        </w:rPr>
        <w:t>生物与医药</w:t>
      </w:r>
      <w:r>
        <w:rPr>
          <w:sz w:val="24"/>
        </w:rPr>
        <w:t>专业硕士研究生入学的专业考试。</w:t>
      </w:r>
      <w:r>
        <w:rPr>
          <w:kern w:val="0"/>
          <w:sz w:val="24"/>
        </w:rPr>
        <w:t>要求考生比较系统地理解和掌握生物化学的基本概念和基本理论；掌握重要的生物化学研究技术；能综合运用所学的知识分析问题和解决问题；了解生物化学领域的引人瞩目的最新进展。</w:t>
      </w:r>
    </w:p>
    <w:p w14:paraId="65FFDD34">
      <w:pPr>
        <w:widowControl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>具体要求学生主要掌握以下几方面内容：</w:t>
      </w:r>
    </w:p>
    <w:p w14:paraId="0A686C95">
      <w:pPr>
        <w:widowControl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>
        <w:rPr>
          <w:kern w:val="0"/>
          <w:sz w:val="24"/>
        </w:rPr>
        <w:t>1</w:t>
      </w:r>
      <w:r>
        <w:rPr>
          <w:rFonts w:hint="eastAsia"/>
          <w:kern w:val="0"/>
          <w:sz w:val="24"/>
        </w:rPr>
        <w:t>）</w:t>
      </w:r>
      <w:r>
        <w:rPr>
          <w:kern w:val="0"/>
          <w:sz w:val="24"/>
        </w:rPr>
        <w:t xml:space="preserve"> 掌握生物大分子（包括蛋白质、糖、脂类及核酸等）的结构、理化性质、结构与功能的关系；掌握酶的结构和主要概念。</w:t>
      </w:r>
    </w:p>
    <w:p w14:paraId="7D6F975C">
      <w:pPr>
        <w:widowControl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>
        <w:rPr>
          <w:kern w:val="0"/>
          <w:sz w:val="24"/>
        </w:rPr>
        <w:t>2</w:t>
      </w:r>
      <w:r>
        <w:rPr>
          <w:rFonts w:hint="eastAsia"/>
          <w:kern w:val="0"/>
          <w:sz w:val="24"/>
        </w:rPr>
        <w:t>）</w:t>
      </w:r>
      <w:r>
        <w:rPr>
          <w:kern w:val="0"/>
          <w:sz w:val="24"/>
        </w:rPr>
        <w:t xml:space="preserve"> 掌握物质代谢（包括糖类、脂类及蛋白质）的主要代谢途径、生物氧化与能量转换、代谢途径间的联系、信息传递及代谢调节。</w:t>
      </w:r>
    </w:p>
    <w:p w14:paraId="0DFE6D15">
      <w:pPr>
        <w:widowControl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>
        <w:rPr>
          <w:kern w:val="0"/>
          <w:sz w:val="24"/>
        </w:rPr>
        <w:t>3</w:t>
      </w:r>
      <w:r>
        <w:rPr>
          <w:rFonts w:hint="eastAsia"/>
          <w:kern w:val="0"/>
          <w:sz w:val="24"/>
        </w:rPr>
        <w:t>）</w:t>
      </w:r>
      <w:r>
        <w:rPr>
          <w:kern w:val="0"/>
          <w:sz w:val="24"/>
        </w:rPr>
        <w:t xml:space="preserve"> 掌握中心法则所揭示的信息流向，包括DNA复制、RNA转录、翻译及基因表达调控。</w:t>
      </w:r>
    </w:p>
    <w:p w14:paraId="2FF3F686">
      <w:pPr>
        <w:widowControl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>
        <w:rPr>
          <w:kern w:val="0"/>
          <w:sz w:val="24"/>
        </w:rPr>
        <w:t>4</w:t>
      </w:r>
      <w:r>
        <w:rPr>
          <w:rFonts w:hint="eastAsia"/>
          <w:kern w:val="0"/>
          <w:sz w:val="24"/>
        </w:rPr>
        <w:t>）</w:t>
      </w:r>
      <w:r>
        <w:rPr>
          <w:kern w:val="0"/>
          <w:sz w:val="24"/>
        </w:rPr>
        <w:t xml:space="preserve"> 理解重组DNA技术及最新进展中涉及的基本概念和原理。</w:t>
      </w:r>
    </w:p>
    <w:p w14:paraId="14441D4D">
      <w:pPr>
        <w:spacing w:line="360" w:lineRule="auto"/>
        <w:jc w:val="center"/>
        <w:rPr>
          <w:rStyle w:val="9"/>
          <w:b w:val="0"/>
          <w:bCs w:val="0"/>
        </w:rPr>
      </w:pPr>
    </w:p>
    <w:p w14:paraId="56EBB06D">
      <w:pPr>
        <w:spacing w:line="360" w:lineRule="auto"/>
        <w:rPr>
          <w:b/>
          <w:sz w:val="24"/>
        </w:rPr>
      </w:pPr>
      <w:r>
        <w:rPr>
          <w:b/>
          <w:sz w:val="24"/>
        </w:rPr>
        <w:t>三、考试内容</w:t>
      </w:r>
    </w:p>
    <w:p w14:paraId="09955828">
      <w:pPr>
        <w:pStyle w:val="16"/>
        <w:autoSpaceDE w:val="0"/>
        <w:autoSpaceDN w:val="0"/>
        <w:spacing w:line="360" w:lineRule="auto"/>
        <w:ind w:right="-17"/>
        <w:textAlignment w:val="bottom"/>
        <w:rPr>
          <w:rFonts w:ascii="Times New Roman"/>
          <w:b/>
        </w:rPr>
      </w:pPr>
      <w:r>
        <w:rPr>
          <w:rFonts w:ascii="Times New Roman"/>
          <w:b/>
        </w:rPr>
        <w:t>（一）蛋白质化学</w:t>
      </w:r>
    </w:p>
    <w:p w14:paraId="4382D429">
      <w:pPr>
        <w:pStyle w:val="16"/>
        <w:autoSpaceDE w:val="0"/>
        <w:autoSpaceDN w:val="0"/>
        <w:spacing w:line="360" w:lineRule="auto"/>
        <w:ind w:right="-15" w:firstLine="420"/>
        <w:textAlignment w:val="bottom"/>
        <w:rPr>
          <w:rFonts w:ascii="Times New Roman"/>
        </w:rPr>
      </w:pPr>
      <w:r>
        <w:rPr>
          <w:rFonts w:ascii="Times New Roman"/>
        </w:rPr>
        <w:t>1．蛋白质的化学组成</w:t>
      </w:r>
    </w:p>
    <w:p w14:paraId="5D60F00C">
      <w:pPr>
        <w:pStyle w:val="16"/>
        <w:autoSpaceDE w:val="0"/>
        <w:autoSpaceDN w:val="0"/>
        <w:spacing w:line="360" w:lineRule="auto"/>
        <w:ind w:right="-15" w:firstLine="420"/>
        <w:textAlignment w:val="bottom"/>
        <w:rPr>
          <w:rFonts w:ascii="Times New Roman"/>
        </w:rPr>
      </w:pPr>
      <w:r>
        <w:rPr>
          <w:rFonts w:ascii="Times New Roman"/>
        </w:rPr>
        <w:t>2．氨基酸的分类及简写符号 </w:t>
      </w:r>
    </w:p>
    <w:p w14:paraId="0C5F72E7">
      <w:pPr>
        <w:pStyle w:val="16"/>
        <w:autoSpaceDE w:val="0"/>
        <w:autoSpaceDN w:val="0"/>
        <w:spacing w:line="360" w:lineRule="auto"/>
        <w:ind w:right="-15" w:firstLine="420"/>
        <w:textAlignment w:val="bottom"/>
        <w:rPr>
          <w:rFonts w:ascii="Times New Roman"/>
        </w:rPr>
      </w:pPr>
      <w:r>
        <w:rPr>
          <w:rFonts w:ascii="Times New Roman"/>
        </w:rPr>
        <w:t>3．氨基酸的理化性质及化学反应 </w:t>
      </w:r>
    </w:p>
    <w:p w14:paraId="56CEF09B">
      <w:pPr>
        <w:pStyle w:val="16"/>
        <w:autoSpaceDE w:val="0"/>
        <w:autoSpaceDN w:val="0"/>
        <w:spacing w:line="360" w:lineRule="auto"/>
        <w:ind w:right="-15" w:firstLine="420"/>
        <w:textAlignment w:val="bottom"/>
        <w:rPr>
          <w:rFonts w:ascii="Times New Roman"/>
        </w:rPr>
      </w:pPr>
      <w:r>
        <w:rPr>
          <w:rFonts w:ascii="Times New Roman"/>
        </w:rPr>
        <w:t>4．氨基酸的分析分离方法</w:t>
      </w:r>
    </w:p>
    <w:p w14:paraId="64CCEE6C">
      <w:pPr>
        <w:pStyle w:val="16"/>
        <w:autoSpaceDE w:val="0"/>
        <w:autoSpaceDN w:val="0"/>
        <w:spacing w:line="360" w:lineRule="auto"/>
        <w:ind w:right="-15" w:firstLine="420"/>
        <w:textAlignment w:val="bottom"/>
        <w:rPr>
          <w:rFonts w:ascii="Times New Roman"/>
        </w:rPr>
      </w:pPr>
      <w:r>
        <w:rPr>
          <w:rFonts w:ascii="Times New Roman"/>
        </w:rPr>
        <w:t>5. 肽、肽键与与生物活性肽</w:t>
      </w:r>
    </w:p>
    <w:p w14:paraId="75D2BB23">
      <w:pPr>
        <w:pStyle w:val="16"/>
        <w:autoSpaceDE w:val="0"/>
        <w:autoSpaceDN w:val="0"/>
        <w:spacing w:line="360" w:lineRule="auto"/>
        <w:ind w:right="-15" w:firstLine="420"/>
        <w:textAlignment w:val="bottom"/>
        <w:rPr>
          <w:rFonts w:ascii="Times New Roman"/>
        </w:rPr>
      </w:pPr>
      <w:r>
        <w:rPr>
          <w:rFonts w:ascii="Times New Roman"/>
        </w:rPr>
        <w:t>6. 蛋白质的分类和理化性质</w:t>
      </w:r>
    </w:p>
    <w:p w14:paraId="69C19255">
      <w:pPr>
        <w:pStyle w:val="16"/>
        <w:autoSpaceDE w:val="0"/>
        <w:autoSpaceDN w:val="0"/>
        <w:spacing w:line="360" w:lineRule="auto"/>
        <w:ind w:right="-15" w:firstLine="420"/>
        <w:textAlignment w:val="bottom"/>
        <w:rPr>
          <w:rFonts w:ascii="Times New Roman"/>
        </w:rPr>
      </w:pPr>
      <w:r>
        <w:rPr>
          <w:rFonts w:ascii="Times New Roman"/>
        </w:rPr>
        <w:t>7. 蛋白质的氨基酸序列分析</w:t>
      </w:r>
    </w:p>
    <w:p w14:paraId="6200094C">
      <w:pPr>
        <w:pStyle w:val="16"/>
        <w:autoSpaceDE w:val="0"/>
        <w:autoSpaceDN w:val="0"/>
        <w:spacing w:line="360" w:lineRule="auto"/>
        <w:ind w:right="-15" w:firstLine="420"/>
        <w:textAlignment w:val="bottom"/>
        <w:rPr>
          <w:rFonts w:ascii="Times New Roman"/>
        </w:rPr>
      </w:pPr>
      <w:r>
        <w:rPr>
          <w:rFonts w:ascii="Times New Roman"/>
        </w:rPr>
        <w:t>8. 蛋白质分子结构和维系蛋白质结构的化学键</w:t>
      </w:r>
    </w:p>
    <w:p w14:paraId="00EF7FAD">
      <w:pPr>
        <w:pStyle w:val="16"/>
        <w:autoSpaceDE w:val="0"/>
        <w:autoSpaceDN w:val="0"/>
        <w:spacing w:line="360" w:lineRule="auto"/>
        <w:ind w:right="-15" w:firstLine="420"/>
        <w:textAlignment w:val="bottom"/>
        <w:rPr>
          <w:rFonts w:ascii="Times New Roman"/>
        </w:rPr>
      </w:pPr>
      <w:r>
        <w:rPr>
          <w:rFonts w:ascii="Times New Roman"/>
        </w:rPr>
        <w:t>9. 蛋白质的高级结构及结构与功能的关系</w:t>
      </w:r>
    </w:p>
    <w:p w14:paraId="38E08EB7">
      <w:pPr>
        <w:pStyle w:val="16"/>
        <w:autoSpaceDE w:val="0"/>
        <w:autoSpaceDN w:val="0"/>
        <w:spacing w:line="360" w:lineRule="auto"/>
        <w:ind w:right="-15" w:firstLine="420"/>
        <w:textAlignment w:val="bottom"/>
        <w:rPr>
          <w:rFonts w:ascii="Times New Roman"/>
        </w:rPr>
      </w:pPr>
      <w:r>
        <w:rPr>
          <w:rFonts w:ascii="Times New Roman"/>
        </w:rPr>
        <w:t>10. 蛋白质的分离纯化和纯度鉴定常用方法与技术</w:t>
      </w:r>
    </w:p>
    <w:p w14:paraId="0D8F29E5">
      <w:pPr>
        <w:spacing w:line="360" w:lineRule="auto"/>
        <w:rPr>
          <w:b/>
          <w:sz w:val="24"/>
        </w:rPr>
      </w:pPr>
      <w:r>
        <w:rPr>
          <w:b/>
        </w:rPr>
        <w:t>（二）</w:t>
      </w:r>
      <w:r>
        <w:rPr>
          <w:b/>
          <w:sz w:val="24"/>
        </w:rPr>
        <w:t>酶学</w:t>
      </w:r>
    </w:p>
    <w:p w14:paraId="3BBF8610">
      <w:pPr>
        <w:spacing w:line="360" w:lineRule="auto"/>
        <w:ind w:firstLine="420"/>
        <w:rPr>
          <w:sz w:val="24"/>
        </w:rPr>
      </w:pPr>
      <w:r>
        <w:rPr>
          <w:sz w:val="24"/>
        </w:rPr>
        <w:t>1. 酶的化学本质和催化作用特点</w:t>
      </w:r>
    </w:p>
    <w:p w14:paraId="30BF0A94">
      <w:pPr>
        <w:spacing w:line="360" w:lineRule="auto"/>
        <w:ind w:firstLine="420"/>
        <w:rPr>
          <w:sz w:val="24"/>
        </w:rPr>
      </w:pPr>
      <w:r>
        <w:rPr>
          <w:sz w:val="24"/>
        </w:rPr>
        <w:t>2. 酶的分类和命名</w:t>
      </w:r>
    </w:p>
    <w:p w14:paraId="337720FD">
      <w:pPr>
        <w:spacing w:line="360" w:lineRule="auto"/>
        <w:ind w:firstLine="420"/>
        <w:rPr>
          <w:sz w:val="24"/>
        </w:rPr>
      </w:pPr>
      <w:r>
        <w:rPr>
          <w:sz w:val="24"/>
        </w:rPr>
        <w:t>3. 酶的</w:t>
      </w:r>
      <w:r>
        <w:rPr>
          <w:rFonts w:hint="eastAsia"/>
          <w:sz w:val="24"/>
        </w:rPr>
        <w:t>活性部位、酶促</w:t>
      </w:r>
      <w:r>
        <w:rPr>
          <w:sz w:val="24"/>
        </w:rPr>
        <w:t>作用机制和酶活性</w:t>
      </w:r>
      <w:r>
        <w:rPr>
          <w:rFonts w:hint="eastAsia"/>
          <w:sz w:val="24"/>
        </w:rPr>
        <w:t>的共价调节及别构</w:t>
      </w:r>
      <w:r>
        <w:rPr>
          <w:sz w:val="24"/>
        </w:rPr>
        <w:t>调节</w:t>
      </w:r>
    </w:p>
    <w:p w14:paraId="38393B4E">
      <w:pPr>
        <w:spacing w:line="360" w:lineRule="auto"/>
        <w:ind w:firstLine="420"/>
        <w:rPr>
          <w:sz w:val="24"/>
        </w:rPr>
      </w:pPr>
      <w:r>
        <w:rPr>
          <w:sz w:val="24"/>
        </w:rPr>
        <w:t>4. 酶的结构和功能的关系</w:t>
      </w:r>
    </w:p>
    <w:p w14:paraId="275B6E43">
      <w:pPr>
        <w:spacing w:line="360" w:lineRule="auto"/>
        <w:ind w:firstLine="420"/>
        <w:rPr>
          <w:sz w:val="24"/>
        </w:rPr>
      </w:pPr>
      <w:r>
        <w:rPr>
          <w:sz w:val="24"/>
        </w:rPr>
        <w:t>5. 酶活力测定及影响因素；米氏方程式和动力学常数意义；酶的抑制作用</w:t>
      </w:r>
    </w:p>
    <w:p w14:paraId="73ACCAEF">
      <w:pPr>
        <w:spacing w:line="360" w:lineRule="auto"/>
        <w:ind w:firstLine="420"/>
        <w:rPr>
          <w:sz w:val="24"/>
        </w:rPr>
      </w:pPr>
      <w:r>
        <w:rPr>
          <w:sz w:val="24"/>
        </w:rPr>
        <w:t>6. 酶分离纯化技术</w:t>
      </w:r>
    </w:p>
    <w:p w14:paraId="2D305DC8">
      <w:pPr>
        <w:spacing w:line="360" w:lineRule="auto"/>
        <w:ind w:firstLine="420"/>
        <w:rPr>
          <w:sz w:val="24"/>
        </w:rPr>
      </w:pPr>
      <w:r>
        <w:rPr>
          <w:sz w:val="24"/>
        </w:rPr>
        <w:t>7. 核酶、抗体酶、寡聚酶、同工酶及诱导酶和固定化酶的基本概念和应用</w:t>
      </w:r>
    </w:p>
    <w:p w14:paraId="04979917">
      <w:pPr>
        <w:pStyle w:val="16"/>
        <w:autoSpaceDE w:val="0"/>
        <w:autoSpaceDN w:val="0"/>
        <w:spacing w:line="360" w:lineRule="auto"/>
        <w:ind w:right="-15"/>
        <w:textAlignment w:val="bottom"/>
        <w:rPr>
          <w:rFonts w:ascii="Times New Roman"/>
          <w:b/>
        </w:rPr>
      </w:pPr>
      <w:r>
        <w:rPr>
          <w:rFonts w:ascii="Times New Roman"/>
          <w:b/>
        </w:rPr>
        <w:t>（三）核酸化学</w:t>
      </w:r>
    </w:p>
    <w:p w14:paraId="76245AF8">
      <w:pPr>
        <w:spacing w:line="360" w:lineRule="auto"/>
        <w:ind w:firstLine="420"/>
        <w:rPr>
          <w:sz w:val="24"/>
        </w:rPr>
      </w:pPr>
      <w:r>
        <w:rPr>
          <w:sz w:val="24"/>
        </w:rPr>
        <w:t>1. 核酸的基本化学组成及种类</w:t>
      </w:r>
    </w:p>
    <w:p w14:paraId="043FFD9F">
      <w:pPr>
        <w:spacing w:line="360" w:lineRule="auto"/>
        <w:ind w:firstLine="420"/>
        <w:rPr>
          <w:sz w:val="24"/>
        </w:rPr>
      </w:pPr>
      <w:r>
        <w:rPr>
          <w:sz w:val="24"/>
        </w:rPr>
        <w:t>2. 核苷酸的结构</w:t>
      </w:r>
    </w:p>
    <w:p w14:paraId="4E276974">
      <w:pPr>
        <w:spacing w:line="360" w:lineRule="auto"/>
        <w:ind w:firstLine="420"/>
        <w:rPr>
          <w:sz w:val="24"/>
        </w:rPr>
      </w:pPr>
      <w:r>
        <w:rPr>
          <w:sz w:val="24"/>
        </w:rPr>
        <w:t>3. RNA的分子结构、分类及各类RNA的生物学功能</w:t>
      </w:r>
    </w:p>
    <w:p w14:paraId="243965D5">
      <w:pPr>
        <w:spacing w:line="360" w:lineRule="auto"/>
        <w:ind w:firstLine="420"/>
        <w:rPr>
          <w:rFonts w:hint="eastAsia"/>
          <w:sz w:val="24"/>
        </w:rPr>
      </w:pPr>
      <w:r>
        <w:rPr>
          <w:sz w:val="24"/>
        </w:rPr>
        <w:t>4. DNA的分子结构</w:t>
      </w:r>
      <w:r>
        <w:rPr>
          <w:rFonts w:hint="eastAsia"/>
          <w:sz w:val="24"/>
        </w:rPr>
        <w:t>与功能</w:t>
      </w:r>
    </w:p>
    <w:p w14:paraId="7A6A0A91">
      <w:pPr>
        <w:spacing w:line="360" w:lineRule="auto"/>
        <w:ind w:firstLine="420"/>
        <w:rPr>
          <w:sz w:val="24"/>
        </w:rPr>
      </w:pPr>
      <w:r>
        <w:rPr>
          <w:sz w:val="24"/>
        </w:rPr>
        <w:t>5. 核酸及核苷酸的</w:t>
      </w:r>
      <w:r>
        <w:rPr>
          <w:rFonts w:hint="eastAsia"/>
          <w:sz w:val="24"/>
        </w:rPr>
        <w:t>理化</w:t>
      </w:r>
      <w:r>
        <w:rPr>
          <w:sz w:val="24"/>
        </w:rPr>
        <w:t>性质</w:t>
      </w:r>
    </w:p>
    <w:p w14:paraId="0F5043FB">
      <w:pPr>
        <w:spacing w:line="360" w:lineRule="auto"/>
        <w:ind w:firstLine="420"/>
        <w:rPr>
          <w:rFonts w:hint="eastAsia"/>
          <w:sz w:val="24"/>
        </w:rPr>
      </w:pPr>
      <w:r>
        <w:rPr>
          <w:sz w:val="24"/>
        </w:rPr>
        <w:t>6. 核酸的分离纯化</w:t>
      </w:r>
      <w:r>
        <w:rPr>
          <w:rFonts w:hint="eastAsia"/>
          <w:sz w:val="24"/>
        </w:rPr>
        <w:t>及杂交技术</w:t>
      </w:r>
    </w:p>
    <w:p w14:paraId="23C4CC01">
      <w:pPr>
        <w:spacing w:line="360" w:lineRule="auto"/>
        <w:ind w:firstLine="420"/>
        <w:rPr>
          <w:rFonts w:hint="eastAsia"/>
          <w:b/>
          <w:sz w:val="24"/>
        </w:rPr>
      </w:pPr>
      <w:r>
        <w:rPr>
          <w:rFonts w:hint="eastAsia"/>
          <w:sz w:val="24"/>
        </w:rPr>
        <w:t>7</w:t>
      </w:r>
      <w:r>
        <w:rPr>
          <w:sz w:val="24"/>
        </w:rPr>
        <w:t xml:space="preserve">. </w:t>
      </w:r>
      <w:r>
        <w:rPr>
          <w:rFonts w:hint="eastAsia"/>
          <w:sz w:val="24"/>
        </w:rPr>
        <w:t>核酸序列的测定</w:t>
      </w:r>
    </w:p>
    <w:p w14:paraId="48E76762">
      <w:pPr>
        <w:spacing w:line="360" w:lineRule="auto"/>
        <w:rPr>
          <w:b/>
          <w:sz w:val="24"/>
        </w:rPr>
      </w:pPr>
      <w:r>
        <w:rPr>
          <w:b/>
          <w:sz w:val="24"/>
        </w:rPr>
        <w:t>（四）</w:t>
      </w:r>
      <w:r>
        <w:rPr>
          <w:b/>
          <w:kern w:val="0"/>
          <w:sz w:val="24"/>
          <w:szCs w:val="20"/>
        </w:rPr>
        <w:t>维生素与辅酶</w:t>
      </w:r>
    </w:p>
    <w:p w14:paraId="67479FEA">
      <w:pPr>
        <w:spacing w:line="360" w:lineRule="auto"/>
        <w:ind w:firstLine="420"/>
        <w:rPr>
          <w:sz w:val="24"/>
        </w:rPr>
      </w:pPr>
      <w:r>
        <w:rPr>
          <w:sz w:val="24"/>
        </w:rPr>
        <w:t>1. 维生素的分类</w:t>
      </w:r>
      <w:r>
        <w:rPr>
          <w:rFonts w:hint="eastAsia"/>
          <w:sz w:val="24"/>
        </w:rPr>
        <w:t>与生理功能</w:t>
      </w:r>
    </w:p>
    <w:p w14:paraId="6FB3B9FA">
      <w:pPr>
        <w:spacing w:line="360" w:lineRule="auto"/>
        <w:ind w:firstLine="420"/>
        <w:rPr>
          <w:sz w:val="24"/>
        </w:rPr>
      </w:pPr>
      <w:r>
        <w:rPr>
          <w:sz w:val="24"/>
        </w:rPr>
        <w:t>2. 维生素与辅酶的关系</w:t>
      </w:r>
    </w:p>
    <w:p w14:paraId="3144B46F">
      <w:pPr>
        <w:pStyle w:val="16"/>
        <w:autoSpaceDE w:val="0"/>
        <w:autoSpaceDN w:val="0"/>
        <w:spacing w:line="360" w:lineRule="auto"/>
        <w:ind w:right="-15"/>
        <w:textAlignment w:val="bottom"/>
        <w:rPr>
          <w:rFonts w:ascii="Times New Roman"/>
          <w:b/>
          <w:kern w:val="2"/>
          <w:szCs w:val="24"/>
        </w:rPr>
      </w:pPr>
      <w:r>
        <w:rPr>
          <w:rFonts w:ascii="Times New Roman"/>
          <w:b/>
          <w:kern w:val="2"/>
          <w:szCs w:val="24"/>
        </w:rPr>
        <w:t>（五）新陈代谢总论和生物氧化</w:t>
      </w:r>
    </w:p>
    <w:p w14:paraId="26C7FDC3">
      <w:pPr>
        <w:pStyle w:val="16"/>
        <w:autoSpaceDE w:val="0"/>
        <w:autoSpaceDN w:val="0"/>
        <w:spacing w:line="360" w:lineRule="auto"/>
        <w:ind w:right="-17" w:firstLine="480"/>
        <w:textAlignment w:val="bottom"/>
        <w:rPr>
          <w:rFonts w:ascii="Times New Roman"/>
        </w:rPr>
      </w:pPr>
      <w:r>
        <w:rPr>
          <w:rFonts w:ascii="Times New Roman"/>
        </w:rPr>
        <w:t>1. 新陈代谢类型及其特点</w:t>
      </w:r>
    </w:p>
    <w:p w14:paraId="1EDDA59F">
      <w:pPr>
        <w:pStyle w:val="16"/>
        <w:autoSpaceDE w:val="0"/>
        <w:autoSpaceDN w:val="0"/>
        <w:spacing w:line="360" w:lineRule="auto"/>
        <w:ind w:right="-17" w:firstLine="480"/>
        <w:textAlignment w:val="bottom"/>
        <w:rPr>
          <w:rFonts w:ascii="Times New Roman"/>
        </w:rPr>
      </w:pPr>
      <w:r>
        <w:rPr>
          <w:rFonts w:ascii="Times New Roman"/>
        </w:rPr>
        <w:t>2. ATP与高能磷酸化合物、ATP的生物学功能</w:t>
      </w:r>
    </w:p>
    <w:p w14:paraId="2F1E6050">
      <w:pPr>
        <w:pStyle w:val="16"/>
        <w:autoSpaceDE w:val="0"/>
        <w:autoSpaceDN w:val="0"/>
        <w:spacing w:line="360" w:lineRule="auto"/>
        <w:ind w:right="-17" w:firstLine="480" w:firstLineChars="200"/>
        <w:textAlignment w:val="bottom"/>
        <w:rPr>
          <w:rFonts w:ascii="Times New Roman"/>
        </w:rPr>
      </w:pPr>
      <w:r>
        <w:rPr>
          <w:rFonts w:ascii="Times New Roman"/>
        </w:rPr>
        <w:t>3. 呼吸链中各组分的排列顺序及其作用</w:t>
      </w:r>
    </w:p>
    <w:p w14:paraId="122C0AE7">
      <w:pPr>
        <w:pStyle w:val="16"/>
        <w:autoSpaceDE w:val="0"/>
        <w:autoSpaceDN w:val="0"/>
        <w:spacing w:line="360" w:lineRule="auto"/>
        <w:ind w:right="-17" w:firstLine="480" w:firstLineChars="200"/>
        <w:textAlignment w:val="bottom"/>
        <w:rPr>
          <w:rFonts w:ascii="Times New Roman"/>
        </w:rPr>
      </w:pPr>
      <w:r>
        <w:rPr>
          <w:rFonts w:ascii="Times New Roman"/>
        </w:rPr>
        <w:t>4. 电子传递过程与ATP的生成</w:t>
      </w:r>
    </w:p>
    <w:p w14:paraId="15400414">
      <w:pPr>
        <w:pStyle w:val="16"/>
        <w:autoSpaceDE w:val="0"/>
        <w:autoSpaceDN w:val="0"/>
        <w:spacing w:line="360" w:lineRule="auto"/>
        <w:ind w:right="-17" w:firstLine="480" w:firstLineChars="200"/>
        <w:textAlignment w:val="bottom"/>
        <w:rPr>
          <w:rFonts w:ascii="Times New Roman"/>
        </w:rPr>
      </w:pPr>
      <w:r>
        <w:rPr>
          <w:rFonts w:ascii="Times New Roman"/>
        </w:rPr>
        <w:t>5. 氧化磷酸化作用机制</w:t>
      </w:r>
      <w:r>
        <w:rPr>
          <w:rFonts w:hint="eastAsia" w:ascii="Times New Roman"/>
        </w:rPr>
        <w:t>与解偶联</w:t>
      </w:r>
    </w:p>
    <w:p w14:paraId="55714C5C">
      <w:pPr>
        <w:pStyle w:val="16"/>
        <w:autoSpaceDE w:val="0"/>
        <w:autoSpaceDN w:val="0"/>
        <w:spacing w:line="360" w:lineRule="auto"/>
        <w:ind w:right="-15"/>
        <w:textAlignment w:val="bottom"/>
        <w:rPr>
          <w:rFonts w:ascii="Times New Roman"/>
          <w:b/>
        </w:rPr>
      </w:pPr>
      <w:r>
        <w:rPr>
          <w:rFonts w:ascii="Times New Roman"/>
          <w:b/>
        </w:rPr>
        <w:t xml:space="preserve">（六）糖类代谢 </w:t>
      </w:r>
    </w:p>
    <w:p w14:paraId="2AA41019">
      <w:pPr>
        <w:pStyle w:val="16"/>
        <w:autoSpaceDE w:val="0"/>
        <w:autoSpaceDN w:val="0"/>
        <w:spacing w:line="360" w:lineRule="auto"/>
        <w:ind w:right="-17" w:firstLine="470" w:firstLineChars="196"/>
        <w:textAlignment w:val="bottom"/>
        <w:rPr>
          <w:rFonts w:ascii="Times New Roman"/>
        </w:rPr>
      </w:pPr>
      <w:r>
        <w:rPr>
          <w:rFonts w:ascii="Times New Roman"/>
        </w:rPr>
        <w:t>1.</w:t>
      </w:r>
      <w:r>
        <w:rPr>
          <w:rFonts w:hint="eastAsia" w:ascii="Times New Roman"/>
        </w:rPr>
        <w:t xml:space="preserve"> 重要的单糖、寡糖、多糖、糖蛋白和蛋白聚糖的特性与生物学功能</w:t>
      </w:r>
    </w:p>
    <w:p w14:paraId="558009C3">
      <w:pPr>
        <w:pStyle w:val="16"/>
        <w:autoSpaceDE w:val="0"/>
        <w:autoSpaceDN w:val="0"/>
        <w:spacing w:line="360" w:lineRule="auto"/>
        <w:ind w:right="-17" w:firstLine="470" w:firstLineChars="196"/>
        <w:textAlignment w:val="bottom"/>
        <w:rPr>
          <w:rFonts w:ascii="Times New Roman"/>
        </w:rPr>
      </w:pPr>
      <w:r>
        <w:rPr>
          <w:rFonts w:ascii="Times New Roman"/>
        </w:rPr>
        <w:t xml:space="preserve">2. </w:t>
      </w:r>
      <w:r>
        <w:rPr>
          <w:rFonts w:hint="eastAsia" w:ascii="Times New Roman"/>
        </w:rPr>
        <w:t>糖酵解和三羧酸循环的物质、能量代谢及关键酶；丙酮酸的去路</w:t>
      </w:r>
    </w:p>
    <w:p w14:paraId="3F4CE7E3">
      <w:pPr>
        <w:pStyle w:val="16"/>
        <w:autoSpaceDE w:val="0"/>
        <w:autoSpaceDN w:val="0"/>
        <w:spacing w:line="360" w:lineRule="auto"/>
        <w:ind w:right="-17" w:firstLine="480" w:firstLineChars="200"/>
        <w:textAlignment w:val="bottom"/>
        <w:rPr>
          <w:rFonts w:ascii="Times New Roman"/>
        </w:rPr>
      </w:pPr>
      <w:r>
        <w:rPr>
          <w:rFonts w:ascii="Times New Roman"/>
        </w:rPr>
        <w:t>3. 糖的无氧分解、有氧氧化的概念、部位</w:t>
      </w:r>
      <w:r>
        <w:rPr>
          <w:rFonts w:hint="eastAsia" w:ascii="Times New Roman"/>
        </w:rPr>
        <w:t>、能量计算与调节</w:t>
      </w:r>
    </w:p>
    <w:p w14:paraId="64142DD0">
      <w:pPr>
        <w:pStyle w:val="16"/>
        <w:autoSpaceDE w:val="0"/>
        <w:autoSpaceDN w:val="0"/>
        <w:spacing w:line="360" w:lineRule="auto"/>
        <w:ind w:right="-17" w:firstLine="480" w:firstLineChars="200"/>
        <w:textAlignment w:val="bottom"/>
        <w:rPr>
          <w:rFonts w:ascii="Times New Roman"/>
        </w:rPr>
      </w:pPr>
      <w:r>
        <w:rPr>
          <w:rFonts w:ascii="Times New Roman"/>
        </w:rPr>
        <w:t>4. 糖异生作用的概念、</w:t>
      </w:r>
      <w:r>
        <w:rPr>
          <w:rFonts w:hint="eastAsia" w:ascii="Times New Roman"/>
        </w:rPr>
        <w:t>反应历程及调节</w:t>
      </w:r>
    </w:p>
    <w:p w14:paraId="14754D2A">
      <w:pPr>
        <w:pStyle w:val="16"/>
        <w:autoSpaceDE w:val="0"/>
        <w:autoSpaceDN w:val="0"/>
        <w:spacing w:line="360" w:lineRule="auto"/>
        <w:ind w:right="-17" w:firstLine="480" w:firstLineChars="200"/>
        <w:textAlignment w:val="bottom"/>
        <w:rPr>
          <w:rFonts w:ascii="Times New Roman"/>
        </w:rPr>
      </w:pPr>
      <w:r>
        <w:rPr>
          <w:rFonts w:ascii="Times New Roman"/>
        </w:rPr>
        <w:t>5. 糖原合成</w:t>
      </w:r>
      <w:r>
        <w:rPr>
          <w:rFonts w:hint="eastAsia" w:ascii="Times New Roman"/>
        </w:rPr>
        <w:t>、降解及调控</w:t>
      </w:r>
    </w:p>
    <w:p w14:paraId="2D8DCE56">
      <w:pPr>
        <w:pStyle w:val="16"/>
        <w:autoSpaceDE w:val="0"/>
        <w:autoSpaceDN w:val="0"/>
        <w:spacing w:line="360" w:lineRule="auto"/>
        <w:ind w:right="-15"/>
        <w:textAlignment w:val="bottom"/>
        <w:rPr>
          <w:rFonts w:ascii="Times New Roman"/>
          <w:b/>
        </w:rPr>
      </w:pPr>
      <w:r>
        <w:rPr>
          <w:rFonts w:ascii="Times New Roman"/>
          <w:b/>
        </w:rPr>
        <w:t xml:space="preserve">（七） 脂类代谢 </w:t>
      </w:r>
    </w:p>
    <w:p w14:paraId="732B5DAC">
      <w:pPr>
        <w:pStyle w:val="16"/>
        <w:autoSpaceDE w:val="0"/>
        <w:autoSpaceDN w:val="0"/>
        <w:spacing w:line="360" w:lineRule="auto"/>
        <w:ind w:left="420" w:leftChars="200" w:right="-17"/>
        <w:textAlignment w:val="bottom"/>
        <w:rPr>
          <w:rFonts w:ascii="Times New Roman"/>
          <w:szCs w:val="24"/>
        </w:rPr>
      </w:pPr>
      <w:r>
        <w:rPr>
          <w:rFonts w:ascii="Times New Roman"/>
          <w:szCs w:val="24"/>
        </w:rPr>
        <w:t xml:space="preserve">1. </w:t>
      </w:r>
      <w:r>
        <w:rPr>
          <w:rFonts w:hint="eastAsia" w:ascii="Times New Roman"/>
          <w:szCs w:val="24"/>
        </w:rPr>
        <w:t>甘油脂、磷脂以及脂肪酸的结构与特性；生物膜的化学组成和结构</w:t>
      </w:r>
      <w:r>
        <w:rPr>
          <w:rFonts w:ascii="Times New Roman"/>
          <w:szCs w:val="24"/>
        </w:rPr>
        <w:t xml:space="preserve"> </w:t>
      </w:r>
    </w:p>
    <w:p w14:paraId="5A3C88C6">
      <w:pPr>
        <w:pStyle w:val="16"/>
        <w:autoSpaceDE w:val="0"/>
        <w:autoSpaceDN w:val="0"/>
        <w:spacing w:line="360" w:lineRule="auto"/>
        <w:ind w:right="-17" w:firstLine="480" w:firstLineChars="200"/>
        <w:textAlignment w:val="bottom"/>
        <w:rPr>
          <w:rFonts w:ascii="Times New Roman"/>
          <w:szCs w:val="24"/>
        </w:rPr>
      </w:pPr>
      <w:r>
        <w:rPr>
          <w:rFonts w:ascii="Times New Roman"/>
          <w:szCs w:val="24"/>
        </w:rPr>
        <w:t>2. 脂肪酸的</w:t>
      </w:r>
      <w:r>
        <w:rPr>
          <w:rFonts w:hint="eastAsia" w:hAnsi="宋体"/>
          <w:szCs w:val="24"/>
        </w:rPr>
        <w:t>β</w:t>
      </w:r>
      <w:r>
        <w:rPr>
          <w:rFonts w:ascii="Times New Roman"/>
          <w:szCs w:val="24"/>
        </w:rPr>
        <w:t>-氧化</w:t>
      </w:r>
      <w:r>
        <w:rPr>
          <w:rFonts w:hint="eastAsia" w:ascii="Times New Roman"/>
          <w:szCs w:val="24"/>
        </w:rPr>
        <w:t>过程</w:t>
      </w:r>
      <w:r>
        <w:rPr>
          <w:rFonts w:ascii="Times New Roman"/>
          <w:szCs w:val="24"/>
        </w:rPr>
        <w:t>及能量计算</w:t>
      </w:r>
    </w:p>
    <w:p w14:paraId="650046BE">
      <w:pPr>
        <w:pStyle w:val="16"/>
        <w:autoSpaceDE w:val="0"/>
        <w:autoSpaceDN w:val="0"/>
        <w:spacing w:line="360" w:lineRule="auto"/>
        <w:ind w:right="-17" w:firstLine="480" w:firstLineChars="200"/>
        <w:textAlignment w:val="bottom"/>
        <w:rPr>
          <w:rFonts w:ascii="Times New Roman"/>
          <w:szCs w:val="24"/>
        </w:rPr>
      </w:pPr>
      <w:r>
        <w:rPr>
          <w:rFonts w:ascii="Times New Roman"/>
          <w:szCs w:val="24"/>
        </w:rPr>
        <w:t>3. 脂肪和脂肪酸的生物合成</w:t>
      </w:r>
    </w:p>
    <w:p w14:paraId="10915166">
      <w:pPr>
        <w:pStyle w:val="16"/>
        <w:autoSpaceDE w:val="0"/>
        <w:autoSpaceDN w:val="0"/>
        <w:spacing w:line="360" w:lineRule="auto"/>
        <w:ind w:right="-15"/>
        <w:textAlignment w:val="bottom"/>
        <w:rPr>
          <w:rFonts w:ascii="Times New Roman"/>
          <w:b/>
        </w:rPr>
      </w:pPr>
      <w:r>
        <w:rPr>
          <w:rFonts w:ascii="Times New Roman"/>
          <w:b/>
        </w:rPr>
        <w:t>（八）</w:t>
      </w:r>
      <w:r>
        <w:rPr>
          <w:rFonts w:ascii="Times New Roman"/>
          <w:b/>
          <w:szCs w:val="24"/>
        </w:rPr>
        <w:t>蛋白质和氨基酸代谢</w:t>
      </w:r>
      <w:r>
        <w:rPr>
          <w:rFonts w:ascii="Times New Roman"/>
          <w:b/>
        </w:rPr>
        <w:t xml:space="preserve"> </w:t>
      </w:r>
    </w:p>
    <w:p w14:paraId="527300F9">
      <w:pPr>
        <w:pStyle w:val="16"/>
        <w:autoSpaceDE w:val="0"/>
        <w:autoSpaceDN w:val="0"/>
        <w:spacing w:line="360" w:lineRule="auto"/>
        <w:ind w:right="-17" w:firstLine="360"/>
        <w:textAlignment w:val="bottom"/>
        <w:rPr>
          <w:rFonts w:ascii="Times New Roman"/>
        </w:rPr>
      </w:pPr>
      <w:r>
        <w:rPr>
          <w:rFonts w:ascii="Times New Roman"/>
          <w:szCs w:val="24"/>
        </w:rPr>
        <w:t>1. 蛋白质的降</w:t>
      </w:r>
      <w:r>
        <w:rPr>
          <w:rFonts w:ascii="Times New Roman"/>
        </w:rPr>
        <w:t>解</w:t>
      </w:r>
      <w:r>
        <w:rPr>
          <w:rFonts w:hint="eastAsia" w:ascii="Times New Roman"/>
        </w:rPr>
        <w:t>和氨基酸的分解代谢</w:t>
      </w:r>
    </w:p>
    <w:p w14:paraId="047954DC">
      <w:pPr>
        <w:pStyle w:val="16"/>
        <w:autoSpaceDE w:val="0"/>
        <w:autoSpaceDN w:val="0"/>
        <w:spacing w:line="360" w:lineRule="auto"/>
        <w:ind w:right="-17" w:firstLine="360"/>
        <w:textAlignment w:val="bottom"/>
        <w:rPr>
          <w:rFonts w:hint="eastAsia" w:ascii="Times New Roman"/>
          <w:szCs w:val="24"/>
        </w:rPr>
      </w:pPr>
      <w:r>
        <w:rPr>
          <w:rFonts w:ascii="Times New Roman"/>
          <w:szCs w:val="24"/>
        </w:rPr>
        <w:t>2. 尿素循环</w:t>
      </w:r>
    </w:p>
    <w:p w14:paraId="6725F6E8">
      <w:pPr>
        <w:pStyle w:val="16"/>
        <w:autoSpaceDE w:val="0"/>
        <w:autoSpaceDN w:val="0"/>
        <w:spacing w:line="360" w:lineRule="auto"/>
        <w:ind w:right="-17" w:firstLine="360"/>
        <w:textAlignment w:val="bottom"/>
        <w:rPr>
          <w:rFonts w:ascii="Times New Roman"/>
        </w:rPr>
      </w:pPr>
      <w:r>
        <w:rPr>
          <w:rFonts w:ascii="Times New Roman"/>
          <w:szCs w:val="24"/>
        </w:rPr>
        <w:t>3 氨基酸的生物合成</w:t>
      </w:r>
      <w:r>
        <w:rPr>
          <w:rFonts w:hint="eastAsia" w:ascii="Times New Roman"/>
          <w:szCs w:val="24"/>
        </w:rPr>
        <w:t>和调节</w:t>
      </w:r>
    </w:p>
    <w:p w14:paraId="62D2F902">
      <w:pPr>
        <w:pStyle w:val="16"/>
        <w:autoSpaceDE w:val="0"/>
        <w:autoSpaceDN w:val="0"/>
        <w:spacing w:line="360" w:lineRule="auto"/>
        <w:ind w:right="-15"/>
        <w:textAlignment w:val="bottom"/>
        <w:rPr>
          <w:rFonts w:ascii="Times New Roman"/>
          <w:b/>
          <w:szCs w:val="24"/>
        </w:rPr>
      </w:pPr>
      <w:r>
        <w:rPr>
          <w:rFonts w:ascii="Times New Roman"/>
          <w:b/>
        </w:rPr>
        <w:t>（九）</w:t>
      </w:r>
      <w:r>
        <w:rPr>
          <w:rFonts w:ascii="Times New Roman"/>
          <w:b/>
          <w:szCs w:val="24"/>
        </w:rPr>
        <w:t>核酸的降解和核苷酸代谢</w:t>
      </w:r>
    </w:p>
    <w:p w14:paraId="0E96BD3B">
      <w:pPr>
        <w:pStyle w:val="16"/>
        <w:autoSpaceDE w:val="0"/>
        <w:autoSpaceDN w:val="0"/>
        <w:spacing w:line="360" w:lineRule="auto"/>
        <w:ind w:right="-15" w:firstLine="360"/>
        <w:textAlignment w:val="bottom"/>
        <w:rPr>
          <w:rFonts w:hint="eastAsia" w:ascii="Times New Roman"/>
        </w:rPr>
      </w:pPr>
      <w:r>
        <w:rPr>
          <w:rFonts w:ascii="Times New Roman"/>
        </w:rPr>
        <w:t xml:space="preserve">1. </w:t>
      </w:r>
      <w:r>
        <w:rPr>
          <w:rFonts w:hint="eastAsia" w:ascii="Times New Roman"/>
        </w:rPr>
        <w:t>核酸和核苷酸的分解代谢</w:t>
      </w:r>
    </w:p>
    <w:p w14:paraId="4D90C0F2">
      <w:pPr>
        <w:pStyle w:val="16"/>
        <w:autoSpaceDE w:val="0"/>
        <w:autoSpaceDN w:val="0"/>
        <w:spacing w:line="360" w:lineRule="auto"/>
        <w:ind w:right="-15" w:firstLine="360"/>
        <w:textAlignment w:val="bottom"/>
        <w:rPr>
          <w:rFonts w:hint="eastAsia" w:ascii="Times New Roman"/>
        </w:rPr>
      </w:pPr>
      <w:r>
        <w:rPr>
          <w:rFonts w:ascii="Times New Roman"/>
        </w:rPr>
        <w:t xml:space="preserve">2. </w:t>
      </w:r>
      <w:r>
        <w:rPr>
          <w:rFonts w:hint="eastAsia" w:ascii="Times New Roman"/>
        </w:rPr>
        <w:t>核苷酸的生物合成</w:t>
      </w:r>
    </w:p>
    <w:p w14:paraId="4D6827BD">
      <w:pPr>
        <w:pStyle w:val="16"/>
        <w:autoSpaceDE w:val="0"/>
        <w:autoSpaceDN w:val="0"/>
        <w:spacing w:line="360" w:lineRule="auto"/>
        <w:ind w:right="-15"/>
        <w:textAlignment w:val="bottom"/>
        <w:rPr>
          <w:rFonts w:ascii="Times New Roman"/>
          <w:b/>
        </w:rPr>
      </w:pPr>
      <w:r>
        <w:rPr>
          <w:rFonts w:ascii="Times New Roman"/>
          <w:b/>
        </w:rPr>
        <w:t>（十） 核酸的生物合成</w:t>
      </w:r>
    </w:p>
    <w:p w14:paraId="5B28F74C">
      <w:pPr>
        <w:pStyle w:val="16"/>
        <w:autoSpaceDE w:val="0"/>
        <w:autoSpaceDN w:val="0"/>
        <w:spacing w:line="360" w:lineRule="auto"/>
        <w:ind w:right="-15" w:firstLine="360"/>
        <w:textAlignment w:val="bottom"/>
        <w:rPr>
          <w:rFonts w:ascii="Times New Roman"/>
        </w:rPr>
      </w:pPr>
      <w:r>
        <w:rPr>
          <w:rFonts w:ascii="Times New Roman"/>
        </w:rPr>
        <w:t>1. DNA复制</w:t>
      </w:r>
      <w:r>
        <w:rPr>
          <w:rFonts w:hint="eastAsia" w:ascii="Times New Roman"/>
        </w:rPr>
        <w:t>、损伤修复、突变</w:t>
      </w:r>
    </w:p>
    <w:p w14:paraId="5A829F5A">
      <w:pPr>
        <w:pStyle w:val="16"/>
        <w:autoSpaceDE w:val="0"/>
        <w:autoSpaceDN w:val="0"/>
        <w:spacing w:line="360" w:lineRule="auto"/>
        <w:ind w:right="-15" w:firstLine="360"/>
        <w:textAlignment w:val="bottom"/>
        <w:rPr>
          <w:rFonts w:ascii="Times New Roman"/>
        </w:rPr>
      </w:pPr>
      <w:r>
        <w:rPr>
          <w:rFonts w:ascii="Times New Roman"/>
        </w:rPr>
        <w:t xml:space="preserve">2. </w:t>
      </w:r>
      <w:r>
        <w:rPr>
          <w:rFonts w:hint="eastAsia" w:ascii="Times New Roman"/>
        </w:rPr>
        <w:t>DNA的重组</w:t>
      </w:r>
    </w:p>
    <w:p w14:paraId="49343DAD">
      <w:pPr>
        <w:pStyle w:val="16"/>
        <w:autoSpaceDE w:val="0"/>
        <w:autoSpaceDN w:val="0"/>
        <w:spacing w:line="360" w:lineRule="auto"/>
        <w:ind w:right="-15" w:firstLine="360"/>
        <w:textAlignment w:val="bottom"/>
        <w:rPr>
          <w:rFonts w:ascii="Times New Roman"/>
        </w:rPr>
      </w:pPr>
      <w:r>
        <w:rPr>
          <w:rFonts w:ascii="Times New Roman"/>
        </w:rPr>
        <w:t>3. 转录的基本概念，参与转录的酶及有关因子</w:t>
      </w:r>
    </w:p>
    <w:p w14:paraId="46A25268">
      <w:pPr>
        <w:pStyle w:val="16"/>
        <w:autoSpaceDE w:val="0"/>
        <w:autoSpaceDN w:val="0"/>
        <w:spacing w:line="360" w:lineRule="auto"/>
        <w:ind w:right="-15" w:firstLine="360"/>
        <w:textAlignment w:val="bottom"/>
        <w:rPr>
          <w:rFonts w:hint="eastAsia" w:ascii="Times New Roman"/>
        </w:rPr>
      </w:pPr>
      <w:r>
        <w:rPr>
          <w:rFonts w:ascii="Times New Roman"/>
        </w:rPr>
        <w:t>4. RNA转录后加工</w:t>
      </w:r>
      <w:r>
        <w:rPr>
          <w:rFonts w:hint="eastAsia" w:ascii="Times New Roman"/>
        </w:rPr>
        <w:t>与RNA生物功能的多样性</w:t>
      </w:r>
    </w:p>
    <w:p w14:paraId="6F4A2813">
      <w:pPr>
        <w:pStyle w:val="16"/>
        <w:autoSpaceDE w:val="0"/>
        <w:autoSpaceDN w:val="0"/>
        <w:spacing w:line="360" w:lineRule="auto"/>
        <w:ind w:right="-15" w:firstLine="360"/>
        <w:textAlignment w:val="bottom"/>
        <w:rPr>
          <w:rFonts w:ascii="Times New Roman"/>
        </w:rPr>
      </w:pPr>
      <w:r>
        <w:rPr>
          <w:rFonts w:ascii="Times New Roman"/>
        </w:rPr>
        <w:t xml:space="preserve">5. </w:t>
      </w:r>
      <w:r>
        <w:rPr>
          <w:rFonts w:hint="eastAsia" w:ascii="Times New Roman"/>
        </w:rPr>
        <w:t>RNA的复制与逆转录</w:t>
      </w:r>
      <w:r>
        <w:rPr>
          <w:rFonts w:ascii="Times New Roman"/>
        </w:rPr>
        <w:t xml:space="preserve"> </w:t>
      </w:r>
    </w:p>
    <w:p w14:paraId="03675B0A">
      <w:pPr>
        <w:pStyle w:val="16"/>
        <w:autoSpaceDE w:val="0"/>
        <w:autoSpaceDN w:val="0"/>
        <w:spacing w:line="360" w:lineRule="auto"/>
        <w:ind w:right="-15"/>
        <w:textAlignment w:val="bottom"/>
        <w:rPr>
          <w:rFonts w:ascii="Times New Roman"/>
          <w:b/>
        </w:rPr>
      </w:pPr>
      <w:r>
        <w:rPr>
          <w:rFonts w:ascii="Times New Roman"/>
          <w:b/>
        </w:rPr>
        <w:t>（十一） 蛋白质的生物合成</w:t>
      </w:r>
    </w:p>
    <w:p w14:paraId="3E0CD508">
      <w:pPr>
        <w:pStyle w:val="16"/>
        <w:autoSpaceDE w:val="0"/>
        <w:autoSpaceDN w:val="0"/>
        <w:spacing w:line="360" w:lineRule="auto"/>
        <w:ind w:right="-15" w:firstLine="360"/>
        <w:textAlignment w:val="bottom"/>
        <w:rPr>
          <w:rFonts w:ascii="Times New Roman"/>
        </w:rPr>
      </w:pPr>
      <w:r>
        <w:rPr>
          <w:rFonts w:ascii="Times New Roman"/>
        </w:rPr>
        <w:t>1.</w:t>
      </w:r>
      <w:r>
        <w:rPr>
          <w:rFonts w:ascii="Times New Roman"/>
          <w:b/>
        </w:rPr>
        <w:t xml:space="preserve"> </w:t>
      </w:r>
      <w:r>
        <w:rPr>
          <w:rFonts w:ascii="Times New Roman"/>
        </w:rPr>
        <w:t>mRNA、tRNA、核糖体在蛋白质生物合成中的作用和原理</w:t>
      </w:r>
    </w:p>
    <w:p w14:paraId="5C75EB53">
      <w:pPr>
        <w:pStyle w:val="16"/>
        <w:autoSpaceDE w:val="0"/>
        <w:autoSpaceDN w:val="0"/>
        <w:spacing w:line="360" w:lineRule="auto"/>
        <w:ind w:right="-15" w:firstLine="360"/>
        <w:textAlignment w:val="bottom"/>
        <w:rPr>
          <w:rFonts w:ascii="Times New Roman"/>
        </w:rPr>
      </w:pPr>
      <w:r>
        <w:rPr>
          <w:rFonts w:ascii="Times New Roman"/>
        </w:rPr>
        <w:t>2. 密码子的概念、特点</w:t>
      </w:r>
    </w:p>
    <w:p w14:paraId="67E51B72">
      <w:pPr>
        <w:pStyle w:val="16"/>
        <w:autoSpaceDE w:val="0"/>
        <w:autoSpaceDN w:val="0"/>
        <w:spacing w:line="360" w:lineRule="auto"/>
        <w:ind w:right="-15" w:firstLine="360"/>
        <w:textAlignment w:val="bottom"/>
        <w:rPr>
          <w:rFonts w:hint="eastAsia" w:ascii="Times New Roman"/>
        </w:rPr>
      </w:pPr>
      <w:r>
        <w:rPr>
          <w:rFonts w:ascii="Times New Roman"/>
        </w:rPr>
        <w:t>3. 蛋白质生物合成的</w:t>
      </w:r>
      <w:r>
        <w:rPr>
          <w:rFonts w:hint="eastAsia" w:ascii="Times New Roman"/>
        </w:rPr>
        <w:t>步骤</w:t>
      </w:r>
    </w:p>
    <w:p w14:paraId="6845E389">
      <w:pPr>
        <w:pStyle w:val="16"/>
        <w:autoSpaceDE w:val="0"/>
        <w:autoSpaceDN w:val="0"/>
        <w:spacing w:line="360" w:lineRule="auto"/>
        <w:ind w:right="-15" w:firstLine="360"/>
        <w:textAlignment w:val="bottom"/>
        <w:rPr>
          <w:rFonts w:hint="eastAsia" w:ascii="Times New Roman"/>
        </w:rPr>
      </w:pPr>
      <w:r>
        <w:rPr>
          <w:rFonts w:ascii="Times New Roman"/>
        </w:rPr>
        <w:t>4. 翻译后的加工过程</w:t>
      </w:r>
      <w:r>
        <w:rPr>
          <w:rFonts w:hint="eastAsia" w:ascii="Times New Roman"/>
        </w:rPr>
        <w:t>与蛋白定位</w:t>
      </w:r>
    </w:p>
    <w:p w14:paraId="60361920">
      <w:pPr>
        <w:pStyle w:val="16"/>
        <w:autoSpaceDE w:val="0"/>
        <w:autoSpaceDN w:val="0"/>
        <w:spacing w:line="360" w:lineRule="auto"/>
        <w:ind w:right="-15" w:firstLine="360"/>
        <w:textAlignment w:val="bottom"/>
        <w:rPr>
          <w:rFonts w:ascii="Times New Roman"/>
        </w:rPr>
      </w:pPr>
      <w:r>
        <w:rPr>
          <w:rFonts w:ascii="Times New Roman"/>
        </w:rPr>
        <w:t>5. 真核生物与原核生物蛋白质合成的区别</w:t>
      </w:r>
    </w:p>
    <w:p w14:paraId="6735BDAB">
      <w:pPr>
        <w:pStyle w:val="16"/>
        <w:autoSpaceDE w:val="0"/>
        <w:autoSpaceDN w:val="0"/>
        <w:spacing w:line="360" w:lineRule="auto"/>
        <w:ind w:right="-15"/>
        <w:textAlignment w:val="bottom"/>
        <w:rPr>
          <w:rFonts w:ascii="Times New Roman"/>
          <w:b/>
        </w:rPr>
      </w:pPr>
      <w:r>
        <w:rPr>
          <w:rFonts w:ascii="Times New Roman"/>
          <w:b/>
        </w:rPr>
        <w:t>（十二）基因表达调控</w:t>
      </w:r>
    </w:p>
    <w:p w14:paraId="0A33E7EA">
      <w:pPr>
        <w:pStyle w:val="16"/>
        <w:numPr>
          <w:ilvl w:val="0"/>
          <w:numId w:val="1"/>
        </w:numPr>
        <w:autoSpaceDE w:val="0"/>
        <w:autoSpaceDN w:val="0"/>
        <w:spacing w:line="360" w:lineRule="auto"/>
        <w:ind w:right="-15"/>
        <w:textAlignment w:val="bottom"/>
        <w:rPr>
          <w:rFonts w:ascii="Times New Roman"/>
        </w:rPr>
      </w:pPr>
      <w:r>
        <w:rPr>
          <w:rFonts w:hint="eastAsia" w:ascii="Times New Roman"/>
        </w:rPr>
        <w:t>原核生物基因表达调节</w:t>
      </w:r>
    </w:p>
    <w:p w14:paraId="3FA26C05">
      <w:pPr>
        <w:numPr>
          <w:ilvl w:val="0"/>
          <w:numId w:val="1"/>
        </w:numPr>
        <w:rPr>
          <w:kern w:val="0"/>
          <w:sz w:val="24"/>
          <w:szCs w:val="20"/>
        </w:rPr>
      </w:pPr>
      <w:r>
        <w:rPr>
          <w:rFonts w:hint="eastAsia"/>
          <w:kern w:val="0"/>
          <w:sz w:val="24"/>
          <w:szCs w:val="20"/>
        </w:rPr>
        <w:t>真核生物基因表达调节</w:t>
      </w:r>
    </w:p>
    <w:p w14:paraId="62495FAA">
      <w:pPr>
        <w:pStyle w:val="16"/>
        <w:autoSpaceDE w:val="0"/>
        <w:autoSpaceDN w:val="0"/>
        <w:spacing w:line="360" w:lineRule="auto"/>
        <w:ind w:right="-15"/>
        <w:textAlignment w:val="bottom"/>
        <w:rPr>
          <w:rFonts w:ascii="Times New Roman"/>
          <w:b/>
        </w:rPr>
      </w:pPr>
      <w:r>
        <w:rPr>
          <w:rFonts w:ascii="Times New Roman"/>
          <w:b/>
        </w:rPr>
        <w:t>（十三）最新进展</w:t>
      </w:r>
    </w:p>
    <w:p w14:paraId="5FC5E7A2">
      <w:pPr>
        <w:pStyle w:val="16"/>
        <w:autoSpaceDE w:val="0"/>
        <w:autoSpaceDN w:val="0"/>
        <w:spacing w:line="360" w:lineRule="auto"/>
        <w:ind w:right="-15" w:firstLine="360"/>
        <w:textAlignment w:val="bottom"/>
        <w:rPr>
          <w:rFonts w:ascii="Times New Roman"/>
        </w:rPr>
      </w:pPr>
      <w:r>
        <w:rPr>
          <w:rFonts w:ascii="Times New Roman"/>
        </w:rPr>
        <w:t>了解生物化学领域</w:t>
      </w:r>
      <w:r>
        <w:rPr>
          <w:rFonts w:hint="eastAsia" w:ascii="Times New Roman"/>
        </w:rPr>
        <w:t>，包括技术与产业化等方面</w:t>
      </w:r>
      <w:r>
        <w:rPr>
          <w:rFonts w:ascii="Times New Roman"/>
        </w:rPr>
        <w:t>的引人瞩目的最新进展</w:t>
      </w:r>
    </w:p>
    <w:p w14:paraId="622AD3BC">
      <w:pPr>
        <w:widowControl/>
        <w:spacing w:line="360" w:lineRule="auto"/>
        <w:jc w:val="left"/>
        <w:rPr>
          <w:b/>
          <w:kern w:val="0"/>
          <w:sz w:val="24"/>
        </w:rPr>
      </w:pPr>
    </w:p>
    <w:p w14:paraId="07C80594">
      <w:pPr>
        <w:widowControl/>
        <w:spacing w:line="360" w:lineRule="auto"/>
        <w:jc w:val="left"/>
        <w:rPr>
          <w:b/>
          <w:kern w:val="0"/>
          <w:sz w:val="24"/>
        </w:rPr>
      </w:pPr>
      <w:bookmarkStart w:id="3" w:name="_Hlk114646330"/>
      <w:r>
        <w:rPr>
          <w:b/>
          <w:kern w:val="0"/>
          <w:sz w:val="24"/>
        </w:rPr>
        <w:t>四、考试形式与试卷结构</w:t>
      </w:r>
    </w:p>
    <w:bookmarkEnd w:id="3"/>
    <w:p w14:paraId="71CB73D5">
      <w:pPr>
        <w:widowControl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>1 考试方式：闭卷，笔试</w:t>
      </w:r>
    </w:p>
    <w:p w14:paraId="1D7A5BAA">
      <w:pPr>
        <w:widowControl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>2 考试时间：180分钟</w:t>
      </w:r>
    </w:p>
    <w:p w14:paraId="579AF5A7">
      <w:pPr>
        <w:widowControl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>3 题型及分值</w:t>
      </w:r>
    </w:p>
    <w:p w14:paraId="7AB8F6A3">
      <w:pPr>
        <w:widowControl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>总分   150分</w:t>
      </w:r>
    </w:p>
    <w:p w14:paraId="3986B3EE">
      <w:pPr>
        <w:widowControl/>
        <w:numPr>
          <w:ilvl w:val="0"/>
          <w:numId w:val="2"/>
        </w:numPr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>名词解释                 20~30分</w:t>
      </w:r>
    </w:p>
    <w:p w14:paraId="2FCCC5E3">
      <w:pPr>
        <w:widowControl/>
        <w:numPr>
          <w:ilvl w:val="0"/>
          <w:numId w:val="2"/>
        </w:numPr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>简答</w:t>
      </w:r>
      <w:r>
        <w:rPr>
          <w:rFonts w:hint="eastAsia"/>
          <w:kern w:val="0"/>
          <w:sz w:val="24"/>
        </w:rPr>
        <w:t>及计算题</w:t>
      </w:r>
      <w:r>
        <w:rPr>
          <w:kern w:val="0"/>
          <w:sz w:val="24"/>
        </w:rPr>
        <w:t xml:space="preserve">             60~80分</w:t>
      </w:r>
    </w:p>
    <w:p w14:paraId="26E7E13B">
      <w:pPr>
        <w:widowControl/>
        <w:numPr>
          <w:ilvl w:val="0"/>
          <w:numId w:val="2"/>
        </w:numPr>
        <w:spacing w:line="360" w:lineRule="auto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分析论述与实验设计题</w:t>
      </w:r>
      <w:r>
        <w:rPr>
          <w:kern w:val="0"/>
          <w:sz w:val="24"/>
        </w:rPr>
        <w:t xml:space="preserve">     50~60分</w:t>
      </w:r>
    </w:p>
    <w:p w14:paraId="10F7CE7D">
      <w:pPr>
        <w:widowControl/>
        <w:spacing w:line="360" w:lineRule="auto"/>
        <w:jc w:val="left"/>
        <w:rPr>
          <w:b/>
          <w:kern w:val="0"/>
          <w:sz w:val="24"/>
        </w:rPr>
      </w:pPr>
    </w:p>
    <w:p w14:paraId="57C4B124">
      <w:pPr>
        <w:tabs>
          <w:tab w:val="left" w:pos="540"/>
        </w:tabs>
        <w:spacing w:line="360" w:lineRule="auto"/>
        <w:rPr>
          <w:sz w:val="24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42A41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7BC2660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F2697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FF119">
    <w:pPr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2F37966C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E851ED"/>
    <w:multiLevelType w:val="multilevel"/>
    <w:tmpl w:val="64E851E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40" w:hanging="440"/>
      </w:pPr>
    </w:lvl>
    <w:lvl w:ilvl="2" w:tentative="0">
      <w:start w:val="1"/>
      <w:numFmt w:val="lowerRoman"/>
      <w:lvlText w:val="%3."/>
      <w:lvlJc w:val="right"/>
      <w:pPr>
        <w:ind w:left="1680" w:hanging="440"/>
      </w:pPr>
    </w:lvl>
    <w:lvl w:ilvl="3" w:tentative="0">
      <w:start w:val="1"/>
      <w:numFmt w:val="decimal"/>
      <w:lvlText w:val="%4."/>
      <w:lvlJc w:val="left"/>
      <w:pPr>
        <w:ind w:left="2120" w:hanging="440"/>
      </w:pPr>
    </w:lvl>
    <w:lvl w:ilvl="4" w:tentative="0">
      <w:start w:val="1"/>
      <w:numFmt w:val="lowerLetter"/>
      <w:lvlText w:val="%5)"/>
      <w:lvlJc w:val="left"/>
      <w:pPr>
        <w:ind w:left="2560" w:hanging="440"/>
      </w:pPr>
    </w:lvl>
    <w:lvl w:ilvl="5" w:tentative="0">
      <w:start w:val="1"/>
      <w:numFmt w:val="lowerRoman"/>
      <w:lvlText w:val="%6."/>
      <w:lvlJc w:val="right"/>
      <w:pPr>
        <w:ind w:left="3000" w:hanging="440"/>
      </w:pPr>
    </w:lvl>
    <w:lvl w:ilvl="6" w:tentative="0">
      <w:start w:val="1"/>
      <w:numFmt w:val="decimal"/>
      <w:lvlText w:val="%7."/>
      <w:lvlJc w:val="left"/>
      <w:pPr>
        <w:ind w:left="3440" w:hanging="440"/>
      </w:pPr>
    </w:lvl>
    <w:lvl w:ilvl="7" w:tentative="0">
      <w:start w:val="1"/>
      <w:numFmt w:val="lowerLetter"/>
      <w:lvlText w:val="%8)"/>
      <w:lvlJc w:val="left"/>
      <w:pPr>
        <w:ind w:left="3880" w:hanging="440"/>
      </w:pPr>
    </w:lvl>
    <w:lvl w:ilvl="8" w:tentative="0">
      <w:start w:val="1"/>
      <w:numFmt w:val="lowerRoman"/>
      <w:lvlText w:val="%9."/>
      <w:lvlJc w:val="right"/>
      <w:pPr>
        <w:ind w:left="4320" w:hanging="440"/>
      </w:pPr>
    </w:lvl>
  </w:abstractNum>
  <w:abstractNum w:abstractNumId="1">
    <w:nsid w:val="7DBF6F4A"/>
    <w:multiLevelType w:val="multilevel"/>
    <w:tmpl w:val="7DBF6F4A"/>
    <w:lvl w:ilvl="0" w:tentative="0">
      <w:start w:val="1"/>
      <w:numFmt w:val="decimal"/>
      <w:lvlText w:val="%1)"/>
      <w:lvlJc w:val="left"/>
      <w:pPr>
        <w:tabs>
          <w:tab w:val="left" w:pos="860"/>
        </w:tabs>
        <w:ind w:left="860" w:hanging="320"/>
      </w:pPr>
      <w:rPr>
        <w:rFonts w:hint="eastAsia"/>
      </w:rPr>
    </w:lvl>
    <w:lvl w:ilvl="1" w:tentative="0">
      <w:start w:val="1"/>
      <w:numFmt w:val="bullet"/>
      <w:lvlText w:val=""/>
      <w:lvlJc w:val="left"/>
      <w:pPr>
        <w:tabs>
          <w:tab w:val="left" w:pos="1440"/>
        </w:tabs>
        <w:ind w:left="14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60"/>
        </w:tabs>
        <w:ind w:left="18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280"/>
        </w:tabs>
        <w:ind w:left="22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700"/>
        </w:tabs>
        <w:ind w:left="27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120"/>
        </w:tabs>
        <w:ind w:left="31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40"/>
        </w:tabs>
        <w:ind w:left="35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60"/>
        </w:tabs>
        <w:ind w:left="39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80"/>
        </w:tabs>
        <w:ind w:left="43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zNjE0MzA0NDI3MTNU0lEKTi0uzszPAykwrAUA/2AfuSwAAAA="/>
    <w:docVar w:name="commondata" w:val="eyJoZGlkIjoiYzVlZGQ4N2ZjYzA2NzNmN2I0MjVlNDAwOGZjNDc4NDAifQ=="/>
  </w:docVars>
  <w:rsids>
    <w:rsidRoot w:val="00921BC8"/>
    <w:rsid w:val="000066E4"/>
    <w:rsid w:val="0002005B"/>
    <w:rsid w:val="00022DA7"/>
    <w:rsid w:val="000249C5"/>
    <w:rsid w:val="0004256B"/>
    <w:rsid w:val="000B44F4"/>
    <w:rsid w:val="000C0132"/>
    <w:rsid w:val="000C55FC"/>
    <w:rsid w:val="000D7912"/>
    <w:rsid w:val="000E06A8"/>
    <w:rsid w:val="000E63E5"/>
    <w:rsid w:val="0010049A"/>
    <w:rsid w:val="0010389B"/>
    <w:rsid w:val="00120976"/>
    <w:rsid w:val="001477C1"/>
    <w:rsid w:val="00155C39"/>
    <w:rsid w:val="00161100"/>
    <w:rsid w:val="001717B6"/>
    <w:rsid w:val="0017613A"/>
    <w:rsid w:val="00176387"/>
    <w:rsid w:val="001A63B8"/>
    <w:rsid w:val="001D005D"/>
    <w:rsid w:val="001D0663"/>
    <w:rsid w:val="001E1F99"/>
    <w:rsid w:val="001F1141"/>
    <w:rsid w:val="001F5A5F"/>
    <w:rsid w:val="0022483F"/>
    <w:rsid w:val="00234AA8"/>
    <w:rsid w:val="00235112"/>
    <w:rsid w:val="0024747D"/>
    <w:rsid w:val="0025588D"/>
    <w:rsid w:val="00257738"/>
    <w:rsid w:val="002B1FF1"/>
    <w:rsid w:val="002B6494"/>
    <w:rsid w:val="002C1B94"/>
    <w:rsid w:val="002E2802"/>
    <w:rsid w:val="003110E8"/>
    <w:rsid w:val="003258C2"/>
    <w:rsid w:val="0033086D"/>
    <w:rsid w:val="00333D54"/>
    <w:rsid w:val="00334C3B"/>
    <w:rsid w:val="00386B43"/>
    <w:rsid w:val="00396A76"/>
    <w:rsid w:val="003A157F"/>
    <w:rsid w:val="003A204A"/>
    <w:rsid w:val="003A6954"/>
    <w:rsid w:val="003E33A2"/>
    <w:rsid w:val="003F5889"/>
    <w:rsid w:val="00401DCF"/>
    <w:rsid w:val="00411BC1"/>
    <w:rsid w:val="00434D4E"/>
    <w:rsid w:val="00435326"/>
    <w:rsid w:val="00441A69"/>
    <w:rsid w:val="0049214C"/>
    <w:rsid w:val="004A1581"/>
    <w:rsid w:val="004A34CA"/>
    <w:rsid w:val="004C5862"/>
    <w:rsid w:val="004D4FD6"/>
    <w:rsid w:val="004D761C"/>
    <w:rsid w:val="004E754D"/>
    <w:rsid w:val="004F4393"/>
    <w:rsid w:val="00500621"/>
    <w:rsid w:val="00510B76"/>
    <w:rsid w:val="00520DEA"/>
    <w:rsid w:val="00522772"/>
    <w:rsid w:val="005253C6"/>
    <w:rsid w:val="00537418"/>
    <w:rsid w:val="005510A3"/>
    <w:rsid w:val="00555D51"/>
    <w:rsid w:val="00562523"/>
    <w:rsid w:val="00567AE1"/>
    <w:rsid w:val="0058121E"/>
    <w:rsid w:val="00581660"/>
    <w:rsid w:val="005A240D"/>
    <w:rsid w:val="005B455A"/>
    <w:rsid w:val="005E00C6"/>
    <w:rsid w:val="005E3748"/>
    <w:rsid w:val="00616AA9"/>
    <w:rsid w:val="006210BD"/>
    <w:rsid w:val="00630B82"/>
    <w:rsid w:val="00632345"/>
    <w:rsid w:val="0065377F"/>
    <w:rsid w:val="00662106"/>
    <w:rsid w:val="00681EF0"/>
    <w:rsid w:val="006A6BB2"/>
    <w:rsid w:val="006B4168"/>
    <w:rsid w:val="006C0063"/>
    <w:rsid w:val="006C5A32"/>
    <w:rsid w:val="006E34F0"/>
    <w:rsid w:val="007058D8"/>
    <w:rsid w:val="00724A20"/>
    <w:rsid w:val="007251A4"/>
    <w:rsid w:val="007706FA"/>
    <w:rsid w:val="007A6169"/>
    <w:rsid w:val="007C7169"/>
    <w:rsid w:val="007F2615"/>
    <w:rsid w:val="00833430"/>
    <w:rsid w:val="0083753B"/>
    <w:rsid w:val="00841E3C"/>
    <w:rsid w:val="00853FA0"/>
    <w:rsid w:val="008561C2"/>
    <w:rsid w:val="00863E29"/>
    <w:rsid w:val="0089173D"/>
    <w:rsid w:val="008A2708"/>
    <w:rsid w:val="008A372B"/>
    <w:rsid w:val="008B5B0E"/>
    <w:rsid w:val="00900F25"/>
    <w:rsid w:val="009019C4"/>
    <w:rsid w:val="009047F6"/>
    <w:rsid w:val="00920A5E"/>
    <w:rsid w:val="00921BC8"/>
    <w:rsid w:val="00942D79"/>
    <w:rsid w:val="009A44FF"/>
    <w:rsid w:val="009B18BE"/>
    <w:rsid w:val="009B5DBA"/>
    <w:rsid w:val="009D24B2"/>
    <w:rsid w:val="009D5FF8"/>
    <w:rsid w:val="009D6A92"/>
    <w:rsid w:val="009E1B54"/>
    <w:rsid w:val="009F3319"/>
    <w:rsid w:val="00A03CA1"/>
    <w:rsid w:val="00A145E5"/>
    <w:rsid w:val="00A23CCA"/>
    <w:rsid w:val="00A23E59"/>
    <w:rsid w:val="00A56442"/>
    <w:rsid w:val="00A60439"/>
    <w:rsid w:val="00A816A5"/>
    <w:rsid w:val="00AB00B5"/>
    <w:rsid w:val="00AB06FA"/>
    <w:rsid w:val="00AD5FA0"/>
    <w:rsid w:val="00B11C78"/>
    <w:rsid w:val="00B13C60"/>
    <w:rsid w:val="00B173B7"/>
    <w:rsid w:val="00B257B0"/>
    <w:rsid w:val="00B46FD8"/>
    <w:rsid w:val="00B53293"/>
    <w:rsid w:val="00B83602"/>
    <w:rsid w:val="00B8530B"/>
    <w:rsid w:val="00BA2708"/>
    <w:rsid w:val="00BA7BB7"/>
    <w:rsid w:val="00BB3D60"/>
    <w:rsid w:val="00BC075B"/>
    <w:rsid w:val="00BC0BD4"/>
    <w:rsid w:val="00BD31B3"/>
    <w:rsid w:val="00BE3B1D"/>
    <w:rsid w:val="00BF190D"/>
    <w:rsid w:val="00C24BC7"/>
    <w:rsid w:val="00C4244B"/>
    <w:rsid w:val="00C628B5"/>
    <w:rsid w:val="00C74893"/>
    <w:rsid w:val="00C86D04"/>
    <w:rsid w:val="00C90231"/>
    <w:rsid w:val="00C9304B"/>
    <w:rsid w:val="00CD4FBF"/>
    <w:rsid w:val="00CE4573"/>
    <w:rsid w:val="00D0656F"/>
    <w:rsid w:val="00D22B14"/>
    <w:rsid w:val="00D30459"/>
    <w:rsid w:val="00D5027C"/>
    <w:rsid w:val="00D63138"/>
    <w:rsid w:val="00D74F5F"/>
    <w:rsid w:val="00D81AAF"/>
    <w:rsid w:val="00D84868"/>
    <w:rsid w:val="00DA6532"/>
    <w:rsid w:val="00DB0EAA"/>
    <w:rsid w:val="00DB25AC"/>
    <w:rsid w:val="00DC1838"/>
    <w:rsid w:val="00DC29C6"/>
    <w:rsid w:val="00DC7851"/>
    <w:rsid w:val="00E13756"/>
    <w:rsid w:val="00E52EE3"/>
    <w:rsid w:val="00E54337"/>
    <w:rsid w:val="00E550C6"/>
    <w:rsid w:val="00E61498"/>
    <w:rsid w:val="00E762A2"/>
    <w:rsid w:val="00E918F8"/>
    <w:rsid w:val="00EB0AC2"/>
    <w:rsid w:val="00EF78E9"/>
    <w:rsid w:val="00F001A2"/>
    <w:rsid w:val="00F0308D"/>
    <w:rsid w:val="00F27901"/>
    <w:rsid w:val="00F334DB"/>
    <w:rsid w:val="00F368BA"/>
    <w:rsid w:val="00F4790C"/>
    <w:rsid w:val="00F520C6"/>
    <w:rsid w:val="00F56A10"/>
    <w:rsid w:val="00F64507"/>
    <w:rsid w:val="00F64550"/>
    <w:rsid w:val="00F65B07"/>
    <w:rsid w:val="00F7537C"/>
    <w:rsid w:val="00F802B8"/>
    <w:rsid w:val="00F8443D"/>
    <w:rsid w:val="00FA1CB8"/>
    <w:rsid w:val="00FA60F0"/>
    <w:rsid w:val="00FB5A92"/>
    <w:rsid w:val="00FD3FF5"/>
    <w:rsid w:val="00FF05BC"/>
    <w:rsid w:val="00FF363E"/>
    <w:rsid w:val="11EB2EA6"/>
    <w:rsid w:val="138F5EA9"/>
    <w:rsid w:val="1BC23E33"/>
    <w:rsid w:val="1D253E43"/>
    <w:rsid w:val="3E72723C"/>
    <w:rsid w:val="4D14690C"/>
    <w:rsid w:val="511F2F07"/>
    <w:rsid w:val="5FD45866"/>
    <w:rsid w:val="7E0723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nhideWhenUsed="0" w:uiPriority="60" w:semiHidden="0" w:name="Medium Grid 3"/>
    <w:lsdException w:unhideWhenUsed="0" w:uiPriority="61" w:semiHidden="0" w:name="Dark List"/>
    <w:lsdException w:unhideWhenUsed="0" w:uiPriority="62" w:semiHidden="0" w:name="Colorful Shading"/>
    <w:lsdException w:unhideWhenUsed="0" w:uiPriority="63" w:semiHidden="0" w:name="Colorful List"/>
    <w:lsdException w:unhideWhenUsed="0" w:uiPriority="64" w:semiHidden="0" w:name="Colorful Grid"/>
    <w:lsdException w:unhideWhenUsed="0" w:uiPriority="65" w:semiHidden="0" w:name="Light Shading Accent 1"/>
    <w:lsdException w:unhideWhenUsed="0" w:uiPriority="66" w:semiHidden="0" w:name="Light List Accent 1"/>
    <w:lsdException w:unhideWhenUsed="0" w:uiPriority="67" w:semiHidden="0" w:name="Light Grid Accent 1"/>
    <w:lsdException w:unhideWhenUsed="0" w:uiPriority="68" w:semiHidden="0" w:name="Medium Shading 1 Accent 1"/>
    <w:lsdException w:unhideWhenUsed="0" w:uiPriority="69" w:semiHidden="0" w:name="Medium Shading 2 Accent 1"/>
    <w:lsdException w:unhideWhenUsed="0" w:uiPriority="70" w:semiHidden="0" w:name="Medium List 1 Accent 1"/>
    <w:lsdException w:uiPriority="99" w:semiHidden="0" w:name=""/>
    <w:lsdException w:unhideWhenUsed="0" w:uiPriority="61" w:semiHidden="0" w:name="Medium List 2 Accent 1"/>
    <w:lsdException w:unhideWhenUsed="0" w:uiPriority="62" w:semiHidden="0" w:name="Medium Grid 1 Accent 1"/>
    <w:lsdException w:unhideWhenUsed="0" w:uiPriority="63" w:semiHidden="0" w:name="Medium Grid 2 Accent 1"/>
    <w:lsdException w:unhideWhenUsed="0" w:uiPriority="64" w:semiHidden="0" w:name="Medium Grid 3 Accent 1"/>
    <w:lsdException w:unhideWhenUsed="0" w:uiPriority="65" w:semiHidden="0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nhideWhenUsed="0" w:uiPriority="66" w:semiHidden="0" w:name="Light List Accent 2"/>
    <w:lsdException w:unhideWhenUsed="0" w:uiPriority="67" w:semiHidden="0" w:name="Light Grid Accent 2"/>
    <w:lsdException w:unhideWhenUsed="0" w:uiPriority="68" w:semiHidden="0" w:name="Medium Shading 1 Accent 2"/>
    <w:lsdException w:unhideWhenUsed="0" w:uiPriority="69" w:semiHidden="0" w:name="Medium Shading 2 Accent 2"/>
    <w:lsdException w:unhideWhenUsed="0" w:uiPriority="70" w:semiHidden="0" w:name="Medium List 1 Accent 2"/>
    <w:lsdException w:unhideWhenUsed="0" w:uiPriority="71" w:semiHidden="0" w:name="Medium List 2 Accent 2"/>
    <w:lsdException w:unhideWhenUsed="0" w:uiPriority="72" w:semiHidden="0" w:name="Medium Grid 1 Accent 2"/>
    <w:lsdException w:unhideWhenUsed="0" w:uiPriority="73" w:semiHidden="0" w:name="Medium Grid 2 Accent 2"/>
    <w:lsdException w:unhideWhenUsed="0" w:uiPriority="60" w:semiHidden="0" w:name="Medium Grid 3 Accent 2"/>
    <w:lsdException w:unhideWhenUsed="0" w:uiPriority="61" w:semiHidden="0" w:name="Dark List Accent 2"/>
    <w:lsdException w:unhideWhenUsed="0" w:uiPriority="62" w:semiHidden="0" w:name="Colorful Shading Accent 2"/>
    <w:lsdException w:unhideWhenUsed="0" w:uiPriority="63" w:semiHidden="0" w:name="Colorful List Accent 2"/>
    <w:lsdException w:unhideWhenUsed="0" w:uiPriority="64" w:semiHidden="0" w:name="Colorful Grid Accent 2"/>
    <w:lsdException w:unhideWhenUsed="0" w:uiPriority="65" w:semiHidden="0" w:name="Light Shading Accent 3"/>
    <w:lsdException w:unhideWhenUsed="0" w:uiPriority="66" w:semiHidden="0" w:name="Light List Accent 3"/>
    <w:lsdException w:unhideWhenUsed="0" w:uiPriority="67" w:semiHidden="0" w:name="Light Grid Accent 3"/>
    <w:lsdException w:unhideWhenUsed="0" w:uiPriority="68" w:semiHidden="0" w:name="Medium Shading 1 Accent 3"/>
    <w:lsdException w:unhideWhenUsed="0" w:uiPriority="69" w:semiHidden="0" w:name="Medium Shading 2 Accent 3"/>
    <w:lsdException w:unhideWhenUsed="0" w:uiPriority="70" w:semiHidden="0" w:name="Medium List 1 Accent 3"/>
    <w:lsdException w:unhideWhenUsed="0" w:uiPriority="71" w:semiHidden="0" w:name="Medium List 2 Accent 3"/>
    <w:lsdException w:unhideWhenUsed="0" w:uiPriority="72" w:semiHidden="0" w:name="Medium Grid 1 Accent 3"/>
    <w:lsdException w:unhideWhenUsed="0" w:uiPriority="73" w:semiHidden="0" w:name="Medium Grid 2 Accent 3"/>
    <w:lsdException w:unhideWhenUsed="0" w:uiPriority="60" w:semiHidden="0" w:name="Medium Grid 3 Accent 3"/>
    <w:lsdException w:unhideWhenUsed="0" w:uiPriority="61" w:semiHidden="0" w:name="Dark List Accent 3"/>
    <w:lsdException w:unhideWhenUsed="0" w:uiPriority="62" w:semiHidden="0" w:name="Colorful Shading Accent 3"/>
    <w:lsdException w:unhideWhenUsed="0" w:uiPriority="63" w:semiHidden="0" w:name="Colorful List Accent 3"/>
    <w:lsdException w:unhideWhenUsed="0" w:uiPriority="64" w:semiHidden="0" w:name="Colorful Grid Accent 3"/>
    <w:lsdException w:unhideWhenUsed="0" w:uiPriority="65" w:semiHidden="0" w:name="Light Shading Accent 4"/>
    <w:lsdException w:unhideWhenUsed="0" w:uiPriority="66" w:semiHidden="0" w:name="Light List Accent 4"/>
    <w:lsdException w:unhideWhenUsed="0" w:uiPriority="67" w:semiHidden="0" w:name="Light Grid Accent 4"/>
    <w:lsdException w:unhideWhenUsed="0" w:uiPriority="68" w:semiHidden="0" w:name="Medium Shading 1 Accent 4"/>
    <w:lsdException w:unhideWhenUsed="0" w:uiPriority="69" w:semiHidden="0" w:name="Medium Shading 2 Accent 4"/>
    <w:lsdException w:unhideWhenUsed="0" w:uiPriority="70" w:semiHidden="0" w:name="Medium List 1 Accent 4"/>
    <w:lsdException w:unhideWhenUsed="0" w:uiPriority="71" w:semiHidden="0" w:name="Medium List 2 Accent 4"/>
    <w:lsdException w:unhideWhenUsed="0" w:uiPriority="72" w:semiHidden="0" w:name="Medium Grid 1 Accent 4"/>
    <w:lsdException w:unhideWhenUsed="0" w:uiPriority="73" w:semiHidden="0" w:name="Medium Grid 2 Accent 4"/>
    <w:lsdException w:unhideWhenUsed="0" w:uiPriority="60" w:semiHidden="0" w:name="Medium Grid 3 Accent 4"/>
    <w:lsdException w:unhideWhenUsed="0" w:uiPriority="61" w:semiHidden="0" w:name="Dark List Accent 4"/>
    <w:lsdException w:unhideWhenUsed="0" w:uiPriority="62" w:semiHidden="0" w:name="Colorful Shading Accent 4"/>
    <w:lsdException w:unhideWhenUsed="0" w:uiPriority="63" w:semiHidden="0" w:name="Colorful List Accent 4"/>
    <w:lsdException w:unhideWhenUsed="0" w:uiPriority="64" w:semiHidden="0" w:name="Colorful Grid Accent 4"/>
    <w:lsdException w:unhideWhenUsed="0" w:uiPriority="65" w:semiHidden="0" w:name="Light Shading Accent 5"/>
    <w:lsdException w:unhideWhenUsed="0" w:uiPriority="66" w:semiHidden="0" w:name="Light List Accent 5"/>
    <w:lsdException w:unhideWhenUsed="0" w:uiPriority="67" w:semiHidden="0" w:name="Light Grid Accent 5"/>
    <w:lsdException w:unhideWhenUsed="0" w:uiPriority="68" w:semiHidden="0" w:name="Medium Shading 1 Accent 5"/>
    <w:lsdException w:unhideWhenUsed="0" w:uiPriority="69" w:semiHidden="0" w:name="Medium Shading 2 Accent 5"/>
    <w:lsdException w:unhideWhenUsed="0" w:uiPriority="70" w:semiHidden="0" w:name="Medium List 1 Accent 5"/>
    <w:lsdException w:unhideWhenUsed="0" w:uiPriority="71" w:semiHidden="0" w:name="Medium List 2 Accent 5"/>
    <w:lsdException w:unhideWhenUsed="0" w:uiPriority="72" w:semiHidden="0" w:name="Medium Grid 1 Accent 5"/>
    <w:lsdException w:unhideWhenUsed="0" w:uiPriority="73" w:semiHidden="0" w:name="Medium Grid 2 Accent 5"/>
    <w:lsdException w:unhideWhenUsed="0" w:uiPriority="60" w:semiHidden="0" w:name="Medium Grid 3 Accent 5"/>
    <w:lsdException w:unhideWhenUsed="0" w:uiPriority="61" w:semiHidden="0" w:name="Dark List Accent 5"/>
    <w:lsdException w:unhideWhenUsed="0" w:uiPriority="62" w:semiHidden="0" w:name="Colorful Shading Accent 5"/>
    <w:lsdException w:unhideWhenUsed="0" w:uiPriority="63" w:semiHidden="0" w:name="Colorful List Accent 5"/>
    <w:lsdException w:unhideWhenUsed="0" w:uiPriority="64" w:semiHidden="0" w:name="Colorful Grid Accent 5"/>
    <w:lsdException w:unhideWhenUsed="0" w:uiPriority="65" w:semiHidden="0" w:name="Light Shading Accent 6"/>
    <w:lsdException w:unhideWhenUsed="0" w:uiPriority="66" w:semiHidden="0" w:name="Light List Accent 6"/>
    <w:lsdException w:unhideWhenUsed="0" w:uiPriority="67" w:semiHidden="0" w:name="Light Grid Accent 6"/>
    <w:lsdException w:unhideWhenUsed="0" w:uiPriority="68" w:semiHidden="0" w:name="Medium Shading 1 Accent 6"/>
    <w:lsdException w:unhideWhenUsed="0" w:uiPriority="69" w:semiHidden="0" w:name="Medium Shading 2 Accent 6"/>
    <w:lsdException w:unhideWhenUsed="0" w:uiPriority="70" w:semiHidden="0" w:name="Medium List 1 Accent 6"/>
    <w:lsdException w:unhideWhenUsed="0" w:uiPriority="71" w:semiHidden="0" w:name="Medium List 2 Accent 6"/>
    <w:lsdException w:unhideWhenUsed="0" w:uiPriority="72" w:semiHidden="0" w:name="Medium Grid 1 Accent 6"/>
    <w:lsdException w:unhideWhenUsed="0" w:uiPriority="73" w:semiHidden="0" w:name="Medium Grid 2 Accent 6"/>
    <w:lsdException w:unhideWhenUsed="0" w:uiPriority="60" w:semiHidden="0" w:name="Medium Grid 3 Accent 6"/>
    <w:lsdException w:unhideWhenUsed="0" w:uiPriority="61" w:semiHidden="0" w:name="Dark List Accent 6"/>
    <w:lsdException w:unhideWhenUsed="0" w:uiPriority="62" w:semiHidden="0" w:name="Colorful Shading Accent 6"/>
    <w:lsdException w:unhideWhenUsed="0" w:uiPriority="63" w:semiHidden="0" w:name="Colorful List Accent 6"/>
    <w:lsdException w:unhideWhenUsed="0" w:uiPriority="64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iPriority w:val="0"/>
    <w:pPr>
      <w:jc w:val="left"/>
    </w:pPr>
  </w:style>
  <w:style w:type="paragraph" w:styleId="3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annotation subject"/>
    <w:basedOn w:val="2"/>
    <w:next w:val="2"/>
    <w:link w:val="15"/>
    <w:uiPriority w:val="0"/>
    <w:rPr>
      <w:b/>
      <w:bCs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uiPriority w:val="0"/>
  </w:style>
  <w:style w:type="character" w:styleId="11">
    <w:name w:val="annotation reference"/>
    <w:uiPriority w:val="0"/>
    <w:rPr>
      <w:sz w:val="21"/>
      <w:szCs w:val="21"/>
    </w:rPr>
  </w:style>
  <w:style w:type="character" w:customStyle="1" w:styleId="12">
    <w:name w:val="批注文字 字符"/>
    <w:link w:val="2"/>
    <w:uiPriority w:val="0"/>
    <w:rPr>
      <w:kern w:val="2"/>
      <w:sz w:val="21"/>
      <w:szCs w:val="24"/>
    </w:rPr>
  </w:style>
  <w:style w:type="character" w:customStyle="1" w:styleId="13">
    <w:name w:val="页脚 字符"/>
    <w:link w:val="3"/>
    <w:uiPriority w:val="99"/>
    <w:rPr>
      <w:kern w:val="2"/>
      <w:sz w:val="18"/>
      <w:szCs w:val="18"/>
    </w:rPr>
  </w:style>
  <w:style w:type="character" w:customStyle="1" w:styleId="14">
    <w:name w:val="页眉 字符"/>
    <w:link w:val="4"/>
    <w:uiPriority w:val="0"/>
    <w:rPr>
      <w:kern w:val="2"/>
      <w:sz w:val="18"/>
      <w:szCs w:val="18"/>
    </w:rPr>
  </w:style>
  <w:style w:type="character" w:customStyle="1" w:styleId="15">
    <w:name w:val="批注主题 字符"/>
    <w:link w:val="6"/>
    <w:uiPriority w:val="0"/>
    <w:rPr>
      <w:b/>
      <w:bCs/>
      <w:kern w:val="2"/>
      <w:sz w:val="21"/>
      <w:szCs w:val="24"/>
    </w:rPr>
  </w:style>
  <w:style w:type="paragraph" w:customStyle="1" w:styleId="16">
    <w:name w:val="Normal"/>
    <w:uiPriority w:val="0"/>
    <w:pPr>
      <w:widowControl w:val="0"/>
      <w:adjustRightInd w:val="0"/>
      <w:spacing w:line="360" w:lineRule="atLeast"/>
      <w:textAlignment w:val="baseline"/>
    </w:pPr>
    <w:rPr>
      <w:rFonts w:ascii="宋体"/>
      <w:sz w:val="24"/>
      <w:lang w:val="en-US" w:eastAsia="zh-CN" w:bidi="ar-SA"/>
    </w:rPr>
  </w:style>
  <w:style w:type="paragraph" w:styleId="17">
    <w:name w:val=""/>
    <w:unhideWhenUsed/>
    <w:uiPriority w:val="99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GHOST</Company>
  <Pages>4</Pages>
  <Words>1472</Words>
  <Characters>1590</Characters>
  <Lines>12</Lines>
  <Paragraphs>3</Paragraphs>
  <TotalTime>2</TotalTime>
  <ScaleCrop>false</ScaleCrop>
  <LinksUpToDate>false</LinksUpToDate>
  <CharactersWithSpaces>1697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2023-07-22T06:15:00Z</dcterms:created>
  <dc:creator>system</dc:creator>
  <cp:lastModifiedBy>vertesyuan</cp:lastModifiedBy>
  <dcterms:modified xsi:type="dcterms:W3CDTF">2024-10-10T05:14:01Z</dcterms:modified>
  <dc:title>武汉工程大学硕士研究生入学考试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0EBB9C6D2769453FB27B8CFE36B26D25_13</vt:lpwstr>
  </property>
</Properties>
</file>