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7754D">
      <w:pPr>
        <w:jc w:val="center"/>
        <w:rPr>
          <w:rFonts w:hint="eastAsia" w:ascii="黑体" w:eastAsia="黑体"/>
          <w:sz w:val="32"/>
          <w:szCs w:val="32"/>
        </w:rPr>
      </w:pPr>
      <w:bookmarkStart w:id="0" w:name="_GoBack"/>
      <w:bookmarkEnd w:id="0"/>
      <w:r>
        <w:rPr>
          <w:rFonts w:hint="eastAsia" w:ascii="黑体" w:eastAsia="黑体"/>
          <w:sz w:val="32"/>
          <w:szCs w:val="32"/>
        </w:rPr>
        <w:t>353</w:t>
      </w:r>
      <w:r>
        <w:rPr>
          <w:rFonts w:hint="eastAsia" w:ascii="黑体" w:eastAsia="黑体"/>
          <w:sz w:val="32"/>
          <w:szCs w:val="32"/>
          <w:lang w:val="en-US" w:eastAsia="zh-CN"/>
        </w:rPr>
        <w:t>-</w:t>
      </w:r>
      <w:r>
        <w:rPr>
          <w:rFonts w:hint="eastAsia" w:ascii="黑体" w:eastAsia="黑体"/>
          <w:sz w:val="32"/>
          <w:szCs w:val="32"/>
        </w:rPr>
        <w:t>卫生综合</w:t>
      </w:r>
    </w:p>
    <w:p w14:paraId="4FB2EF69">
      <w:pPr>
        <w:jc w:val="center"/>
        <w:rPr>
          <w:rFonts w:hint="eastAsia" w:ascii="黑体" w:eastAsia="黑体"/>
          <w:sz w:val="21"/>
          <w:szCs w:val="21"/>
        </w:rPr>
      </w:pPr>
    </w:p>
    <w:p w14:paraId="131E21BB">
      <w:pPr>
        <w:jc w:val="center"/>
        <w:rPr>
          <w:rFonts w:hint="eastAsia" w:ascii="黑体" w:eastAsia="黑体"/>
          <w:szCs w:val="24"/>
        </w:rPr>
      </w:pPr>
      <w:r>
        <w:rPr>
          <w:rFonts w:hint="eastAsia" w:ascii="黑体" w:eastAsia="黑体"/>
          <w:szCs w:val="24"/>
        </w:rPr>
        <w:t>第一部分  流行病学</w:t>
      </w:r>
    </w:p>
    <w:p w14:paraId="33BFF1D2">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sz w:val="21"/>
          <w:szCs w:val="21"/>
        </w:rPr>
      </w:pPr>
    </w:p>
    <w:p w14:paraId="2A7B9194">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sz w:val="21"/>
          <w:szCs w:val="21"/>
        </w:rPr>
      </w:pPr>
      <w:r>
        <w:rPr>
          <w:rFonts w:hint="eastAsia" w:ascii="黑体" w:hAnsi="黑体" w:eastAsia="黑体"/>
          <w:sz w:val="21"/>
          <w:szCs w:val="21"/>
        </w:rPr>
        <w:t>一、考试目的</w:t>
      </w:r>
    </w:p>
    <w:p w14:paraId="321C852C">
      <w:pPr>
        <w:spacing w:line="264" w:lineRule="auto"/>
        <w:ind w:left="1152" w:leftChars="200" w:hanging="666" w:hangingChars="313"/>
        <w:rPr>
          <w:rFonts w:hint="eastAsia" w:ascii="宋体" w:hAnsi="宋体"/>
          <w:sz w:val="21"/>
          <w:szCs w:val="21"/>
        </w:rPr>
      </w:pPr>
      <w:r>
        <w:rPr>
          <w:rFonts w:hint="eastAsia" w:ascii="宋体" w:hAnsi="宋体"/>
          <w:sz w:val="21"/>
          <w:szCs w:val="21"/>
        </w:rPr>
        <w:t>全面考察考生对流行病学基本原理、知识和技能的掌握程度。</w:t>
      </w:r>
    </w:p>
    <w:p w14:paraId="581E02F7">
      <w:pPr>
        <w:spacing w:line="264" w:lineRule="auto"/>
        <w:ind w:left="1152" w:leftChars="200" w:hanging="666" w:hangingChars="313"/>
        <w:rPr>
          <w:rFonts w:hint="eastAsia" w:ascii="宋体" w:hAnsi="宋体"/>
          <w:sz w:val="21"/>
          <w:szCs w:val="21"/>
        </w:rPr>
      </w:pPr>
    </w:p>
    <w:p w14:paraId="76854508">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二、考试内容</w:t>
      </w:r>
    </w:p>
    <w:p w14:paraId="4FCB9543">
      <w:pPr>
        <w:spacing w:line="264" w:lineRule="auto"/>
        <w:ind w:firstLine="426" w:firstLineChars="200"/>
        <w:rPr>
          <w:rFonts w:ascii="宋体" w:hAnsi="宋体"/>
          <w:sz w:val="21"/>
          <w:szCs w:val="21"/>
        </w:rPr>
      </w:pPr>
      <w:r>
        <w:rPr>
          <w:rFonts w:hint="eastAsia" w:ascii="宋体" w:hAnsi="宋体"/>
          <w:b/>
          <w:sz w:val="21"/>
          <w:szCs w:val="21"/>
        </w:rPr>
        <w:t>（一）基础知识：</w:t>
      </w:r>
      <w:r>
        <w:rPr>
          <w:rFonts w:hint="eastAsia" w:ascii="宋体" w:hAnsi="宋体"/>
          <w:sz w:val="21"/>
          <w:szCs w:val="21"/>
        </w:rPr>
        <w:t>流行病学的定义；流行病学定义的诠释；流行病学的应用；流行病学的原理；流行病学特征；流行病学与其他学科的关系；流行病学发展简史；流行病学发展前景展望。</w:t>
      </w:r>
    </w:p>
    <w:p w14:paraId="5CCC3E8D">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（二） 疾病的分布：</w:t>
      </w:r>
      <w:r>
        <w:rPr>
          <w:rFonts w:hint="eastAsia" w:ascii="宋体" w:hAnsi="宋体"/>
          <w:position w:val="-30"/>
          <w:sz w:val="21"/>
          <w:szCs w:val="21"/>
        </w:rPr>
        <w:t>疾病分布的概念；疾病频率测量指标；疾病流行强度；横断面分析及出生队列分析；疾病的时间分布；地方性疾病。疾病三间分布的特征及影响因素；疾病三间分布的综合描述及移民流行病学。</w:t>
      </w:r>
    </w:p>
    <w:p w14:paraId="4AC8C3AF">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（三）描述性研究：</w:t>
      </w:r>
      <w:r>
        <w:rPr>
          <w:rFonts w:hint="eastAsia" w:ascii="宋体" w:hAnsi="宋体"/>
          <w:position w:val="-30"/>
          <w:sz w:val="21"/>
          <w:szCs w:val="21"/>
        </w:rPr>
        <w:t>描述性研究的概念。现况研究的概念、目的及种类；现况研究的设计与实施；现况研究中常见的偏倚及其控制；现况研究的优缺点。生态学研究的定义、生态学研究的方法。生态学研究的应用及局限性。</w:t>
      </w:r>
    </w:p>
    <w:p w14:paraId="112189C5">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（四）队列研究：</w:t>
      </w:r>
      <w:r>
        <w:rPr>
          <w:rFonts w:hint="eastAsia" w:ascii="宋体" w:hAnsi="宋体"/>
          <w:position w:val="-30"/>
          <w:sz w:val="21"/>
          <w:szCs w:val="21"/>
        </w:rPr>
        <w:t>队列研究的概念及基本原理；队列研究的目的、类型及设计与实施；队列研究数据资料的统计分析；队列研究中的偏倚及其控制；队列研究的优点与局限性。选择队列研究方法的指征。</w:t>
      </w:r>
    </w:p>
    <w:p w14:paraId="790E7E15">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（五）病例对照研究：</w:t>
      </w:r>
      <w:r>
        <w:rPr>
          <w:rFonts w:hint="eastAsia" w:ascii="宋体" w:hAnsi="宋体"/>
          <w:position w:val="-30"/>
          <w:sz w:val="21"/>
          <w:szCs w:val="21"/>
        </w:rPr>
        <w:t>病例对照研究的概念及基本原理；病例对照研究的类型；病例对照研究的实施、数据资料的整理与分析；病例对照研究中的偏倚及控制；病例对照研究方法的优点及局限性。实施病例对照研究应考虑的问题。病例对照研究的实例。</w:t>
      </w:r>
    </w:p>
    <w:p w14:paraId="04DA69E6">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（六）实验流行病学：</w:t>
      </w:r>
      <w:r>
        <w:rPr>
          <w:rFonts w:hint="eastAsia" w:ascii="宋体" w:hAnsi="宋体"/>
          <w:position w:val="-30"/>
          <w:sz w:val="21"/>
          <w:szCs w:val="21"/>
        </w:rPr>
        <w:t>实验流行病学的定义、特点及设计与实施；实验流行病学资料的收集和分析。实验流行病学的概述。临床试验、现场试验及社区试验的特点。实验流行病学的优缺点。实验流行病学应注意的问题。</w:t>
      </w:r>
    </w:p>
    <w:p w14:paraId="52AAEEAD">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（七）筛检：</w:t>
      </w:r>
      <w:r>
        <w:rPr>
          <w:rFonts w:hint="eastAsia" w:ascii="宋体" w:hAnsi="宋体"/>
          <w:position w:val="-30"/>
          <w:sz w:val="21"/>
          <w:szCs w:val="21"/>
        </w:rPr>
        <w:t>筛检的定义与应用；筛检的分类和目的；筛检试验的评价方法及指标。筛检效果的评价；筛检的常见偏倚及控制。</w:t>
      </w:r>
    </w:p>
    <w:p w14:paraId="54F0162C">
      <w:pPr>
        <w:spacing w:line="264" w:lineRule="auto"/>
        <w:ind w:firstLine="426" w:firstLineChars="200"/>
        <w:rPr>
          <w:rFonts w:hint="eastAsia" w:ascii="宋体" w:hAnsi="宋体"/>
          <w:b/>
          <w:position w:val="-30"/>
          <w:sz w:val="21"/>
          <w:szCs w:val="21"/>
        </w:rPr>
      </w:pPr>
      <w:r>
        <w:rPr>
          <w:rFonts w:hint="eastAsia" w:ascii="宋体" w:hAnsi="宋体"/>
          <w:b/>
          <w:position w:val="-30"/>
          <w:sz w:val="21"/>
          <w:szCs w:val="21"/>
        </w:rPr>
        <w:t>（八）偏倚及其控制：</w:t>
      </w:r>
      <w:r>
        <w:rPr>
          <w:rFonts w:hint="eastAsia" w:ascii="宋体" w:hAnsi="宋体"/>
          <w:position w:val="-30"/>
          <w:sz w:val="21"/>
          <w:szCs w:val="21"/>
        </w:rPr>
        <w:t>研究的真实性及结果的变异；偏倚的定义、分类、测量及控制。</w:t>
      </w:r>
    </w:p>
    <w:p w14:paraId="4B134C92">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（九）病因与因果推断：</w:t>
      </w:r>
      <w:r>
        <w:rPr>
          <w:rFonts w:hint="eastAsia" w:ascii="宋体" w:hAnsi="宋体"/>
          <w:position w:val="-30"/>
          <w:sz w:val="21"/>
          <w:szCs w:val="21"/>
        </w:rPr>
        <w:t>流行病学病因的定义；充分病因和必要病因；因果推断的逻辑方法；因果关联的推断标准。统计学关联到因果关联。病因模型；因果联接方式。</w:t>
      </w:r>
    </w:p>
    <w:p w14:paraId="2E6D1D5F">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（十）疾病预防策略与措施：</w:t>
      </w:r>
      <w:r>
        <w:rPr>
          <w:rFonts w:hint="eastAsia" w:ascii="宋体" w:hAnsi="宋体"/>
          <w:position w:val="-30"/>
          <w:sz w:val="21"/>
          <w:szCs w:val="21"/>
        </w:rPr>
        <w:t>疾病预防策略与措施的概念及区别；疾病的三级预防；疾病监测的定义、种类、相关概念及用途；疾病监测的工作内容及方法。监测组织和监测系统。在宏观水平制定预防控制的策略；全球卫生策略和初级卫生保健。疾病监测的历史和发展。</w:t>
      </w:r>
    </w:p>
    <w:p w14:paraId="72371F12">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（十一）传染病流行病学：</w:t>
      </w:r>
      <w:r>
        <w:rPr>
          <w:rFonts w:hint="eastAsia" w:ascii="宋体" w:hAnsi="宋体"/>
          <w:position w:val="-30"/>
          <w:sz w:val="21"/>
          <w:szCs w:val="21"/>
        </w:rPr>
        <w:t>传染病发生与传播的基本条件；流行过程的生物学基础；疫源地及流行过程；影响流行过程的因素；传染病的预防与控制；计划免疫和免疫程序；扩大免疫规划；预防接种；预防与控制传染病的策略；计划免疫监测与评价。新发传染病的特点及控制措施。</w:t>
      </w:r>
    </w:p>
    <w:p w14:paraId="48C4A336">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（十二） 突发公共卫生事件流行病学：</w:t>
      </w:r>
      <w:r>
        <w:rPr>
          <w:rFonts w:hint="eastAsia" w:ascii="宋体" w:hAnsi="宋体"/>
          <w:position w:val="-30"/>
          <w:sz w:val="21"/>
          <w:szCs w:val="21"/>
        </w:rPr>
        <w:t>突发公共卫生事件的定义、特征及主要类型；突发公共卫生事件流行病学调查的方法与步骤；突发公共卫生事件的应急准备及处理。</w:t>
      </w:r>
    </w:p>
    <w:p w14:paraId="1AB2C039">
      <w:pPr>
        <w:spacing w:line="264" w:lineRule="auto"/>
        <w:ind w:firstLine="426" w:firstLineChars="200"/>
        <w:rPr>
          <w:rFonts w:hint="eastAsia" w:ascii="宋体" w:hAnsi="宋体"/>
          <w:b/>
          <w:position w:val="-30"/>
          <w:sz w:val="21"/>
          <w:szCs w:val="21"/>
        </w:rPr>
      </w:pPr>
      <w:r>
        <w:rPr>
          <w:rFonts w:hint="eastAsia" w:ascii="宋体" w:hAnsi="宋体"/>
          <w:b/>
          <w:position w:val="-30"/>
          <w:sz w:val="21"/>
          <w:szCs w:val="21"/>
        </w:rPr>
        <w:t>（十三）分子流行病学：</w:t>
      </w:r>
      <w:r>
        <w:rPr>
          <w:rFonts w:hint="eastAsia" w:ascii="宋体" w:hAnsi="宋体"/>
          <w:position w:val="-30"/>
          <w:sz w:val="21"/>
          <w:szCs w:val="21"/>
        </w:rPr>
        <w:t>分子流行病学的概念及研究内容；分子流行病学的主要研究方法及实验室检测技术；分子流行病学的应用。</w:t>
      </w:r>
    </w:p>
    <w:p w14:paraId="3C52EA19">
      <w:pPr>
        <w:spacing w:line="264" w:lineRule="auto"/>
        <w:ind w:firstLine="426" w:firstLineChars="200"/>
        <w:rPr>
          <w:rFonts w:hint="eastAsia" w:ascii="宋体" w:hAnsi="宋体"/>
          <w:position w:val="-30"/>
          <w:sz w:val="21"/>
          <w:szCs w:val="21"/>
        </w:rPr>
      </w:pPr>
      <w:r>
        <w:rPr>
          <w:rFonts w:hint="eastAsia" w:ascii="宋体" w:hAnsi="宋体"/>
          <w:b/>
          <w:position w:val="-30"/>
          <w:sz w:val="21"/>
          <w:szCs w:val="21"/>
        </w:rPr>
        <w:t>（十四）遗传流行病学：</w:t>
      </w:r>
      <w:r>
        <w:rPr>
          <w:rFonts w:hint="eastAsia" w:ascii="宋体" w:hAnsi="宋体"/>
          <w:position w:val="-30"/>
          <w:sz w:val="21"/>
          <w:szCs w:val="21"/>
        </w:rPr>
        <w:t>遗传流行病学的概念及研究方法。疾病病因中遗传与环境的相对意义；遗传流行病学的研究对象与范围。遗传性疾病的预防。</w:t>
      </w:r>
    </w:p>
    <w:p w14:paraId="0ABA19DD">
      <w:pPr>
        <w:spacing w:line="360" w:lineRule="auto"/>
        <w:ind w:firstLine="426" w:firstLineChars="200"/>
        <w:rPr>
          <w:rFonts w:hint="eastAsia" w:ascii="宋体" w:hAnsi="宋体"/>
          <w:position w:val="-30"/>
          <w:sz w:val="21"/>
          <w:szCs w:val="21"/>
        </w:rPr>
      </w:pPr>
    </w:p>
    <w:p w14:paraId="204A3393">
      <w:pPr>
        <w:widowControl/>
        <w:ind w:firstLine="3287" w:firstLineChars="1353"/>
        <w:rPr>
          <w:rFonts w:hint="eastAsia" w:ascii="黑体" w:eastAsia="黑体"/>
          <w:szCs w:val="24"/>
        </w:rPr>
      </w:pPr>
      <w:r>
        <w:rPr>
          <w:rFonts w:hint="eastAsia" w:ascii="黑体" w:eastAsia="黑体"/>
          <w:szCs w:val="24"/>
        </w:rPr>
        <w:t>第二部分  卫生统计学</w:t>
      </w:r>
    </w:p>
    <w:p w14:paraId="6DB20F80">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p>
    <w:p w14:paraId="640A63C1">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一、考试目的</w:t>
      </w:r>
    </w:p>
    <w:p w14:paraId="104C8207">
      <w:pPr>
        <w:widowControl/>
        <w:ind w:firstLine="426" w:firstLineChars="200"/>
        <w:rPr>
          <w:rFonts w:hint="eastAsia" w:ascii="宋体" w:hAnsi="宋体" w:cs="宋体"/>
          <w:bCs/>
          <w:kern w:val="36"/>
          <w:sz w:val="21"/>
          <w:szCs w:val="21"/>
          <w:lang w:eastAsia="zh-CN"/>
        </w:rPr>
      </w:pPr>
      <w:r>
        <w:rPr>
          <w:rFonts w:hint="eastAsia" w:ascii="宋体" w:hAnsi="宋体" w:cs="宋体"/>
          <w:bCs/>
          <w:kern w:val="36"/>
          <w:sz w:val="21"/>
          <w:szCs w:val="21"/>
        </w:rPr>
        <w:t>掌握卫生统计学所涉及的主要概念、理论、方法，能够运用统计学理论和方法解决卫生实践中的实际问题</w:t>
      </w:r>
      <w:r>
        <w:rPr>
          <w:rFonts w:hint="eastAsia" w:ascii="宋体" w:hAnsi="宋体" w:cs="宋体"/>
          <w:bCs/>
          <w:kern w:val="36"/>
          <w:sz w:val="21"/>
          <w:szCs w:val="21"/>
          <w:lang w:eastAsia="zh-CN"/>
        </w:rPr>
        <w:t>。</w:t>
      </w:r>
    </w:p>
    <w:p w14:paraId="0B3DC83C">
      <w:pPr>
        <w:widowControl/>
        <w:ind w:firstLine="426" w:firstLineChars="200"/>
        <w:rPr>
          <w:rFonts w:hint="eastAsia" w:ascii="宋体" w:hAnsi="宋体" w:cs="宋体"/>
          <w:bCs/>
          <w:kern w:val="36"/>
          <w:sz w:val="21"/>
          <w:szCs w:val="21"/>
          <w:lang w:eastAsia="zh-CN"/>
        </w:rPr>
      </w:pPr>
    </w:p>
    <w:p w14:paraId="37D36DFC">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二、考试内容</w:t>
      </w:r>
    </w:p>
    <w:tbl>
      <w:tblPr>
        <w:tblStyle w:val="5"/>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2403"/>
        <w:gridCol w:w="4252"/>
      </w:tblGrid>
      <w:tr w14:paraId="26A2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noWrap w:val="0"/>
            <w:vAlign w:val="center"/>
          </w:tcPr>
          <w:p w14:paraId="40240A36">
            <w:pPr>
              <w:widowControl/>
              <w:spacing w:line="264"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单</w:t>
            </w:r>
            <w:r>
              <w:rPr>
                <w:rFonts w:ascii="宋体" w:hAnsi="宋体"/>
                <w:b/>
                <w:bCs/>
                <w:color w:val="000000"/>
                <w:kern w:val="0"/>
                <w:sz w:val="21"/>
                <w:szCs w:val="21"/>
              </w:rPr>
              <w:t xml:space="preserve">   </w:t>
            </w:r>
            <w:r>
              <w:rPr>
                <w:rFonts w:hint="eastAsia" w:ascii="宋体" w:hAnsi="宋体" w:cs="宋体"/>
                <w:b/>
                <w:bCs/>
                <w:color w:val="000000"/>
                <w:kern w:val="0"/>
                <w:sz w:val="21"/>
                <w:szCs w:val="21"/>
              </w:rPr>
              <w:t>元</w:t>
            </w:r>
          </w:p>
        </w:tc>
        <w:tc>
          <w:tcPr>
            <w:tcW w:w="1418" w:type="pct"/>
            <w:noWrap w:val="0"/>
            <w:vAlign w:val="center"/>
          </w:tcPr>
          <w:p w14:paraId="7F483898">
            <w:pPr>
              <w:widowControl/>
              <w:spacing w:line="264"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内</w:t>
            </w:r>
            <w:r>
              <w:rPr>
                <w:rFonts w:ascii="宋体" w:hAnsi="宋体"/>
                <w:b/>
                <w:bCs/>
                <w:color w:val="000000"/>
                <w:kern w:val="0"/>
                <w:sz w:val="21"/>
                <w:szCs w:val="21"/>
              </w:rPr>
              <w:t xml:space="preserve">   </w:t>
            </w:r>
            <w:r>
              <w:rPr>
                <w:rFonts w:hint="eastAsia" w:ascii="宋体" w:hAnsi="宋体" w:cs="宋体"/>
                <w:b/>
                <w:bCs/>
                <w:color w:val="000000"/>
                <w:kern w:val="0"/>
                <w:sz w:val="21"/>
                <w:szCs w:val="21"/>
              </w:rPr>
              <w:t>容</w:t>
            </w:r>
          </w:p>
        </w:tc>
        <w:tc>
          <w:tcPr>
            <w:tcW w:w="2509" w:type="pct"/>
            <w:noWrap w:val="0"/>
            <w:vAlign w:val="center"/>
          </w:tcPr>
          <w:p w14:paraId="45ACA9D4">
            <w:pPr>
              <w:widowControl/>
              <w:spacing w:line="264" w:lineRule="auto"/>
              <w:jc w:val="center"/>
              <w:rPr>
                <w:rFonts w:ascii="宋体" w:hAnsi="宋体" w:cs="宋体"/>
                <w:b/>
                <w:bCs/>
                <w:color w:val="000000"/>
                <w:kern w:val="0"/>
                <w:sz w:val="21"/>
                <w:szCs w:val="21"/>
              </w:rPr>
            </w:pPr>
            <w:r>
              <w:rPr>
                <w:rFonts w:hint="eastAsia" w:ascii="宋体" w:hAnsi="宋体" w:cs="宋体"/>
                <w:b/>
                <w:bCs/>
                <w:color w:val="000000"/>
                <w:kern w:val="0"/>
                <w:sz w:val="21"/>
                <w:szCs w:val="21"/>
              </w:rPr>
              <w:t>要</w:t>
            </w:r>
            <w:r>
              <w:rPr>
                <w:rFonts w:ascii="宋体" w:hAnsi="宋体"/>
                <w:b/>
                <w:bCs/>
                <w:color w:val="000000"/>
                <w:kern w:val="0"/>
                <w:sz w:val="21"/>
                <w:szCs w:val="21"/>
              </w:rPr>
              <w:t xml:space="preserve">   </w:t>
            </w:r>
            <w:r>
              <w:rPr>
                <w:rFonts w:hint="eastAsia" w:ascii="宋体" w:hAnsi="宋体" w:cs="宋体"/>
                <w:b/>
                <w:bCs/>
                <w:color w:val="000000"/>
                <w:kern w:val="0"/>
                <w:sz w:val="21"/>
                <w:szCs w:val="21"/>
              </w:rPr>
              <w:t>点</w:t>
            </w:r>
          </w:p>
        </w:tc>
      </w:tr>
      <w:tr w14:paraId="1D6C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3F90522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一、统计学的几个基本概念</w:t>
            </w:r>
          </w:p>
        </w:tc>
        <w:tc>
          <w:tcPr>
            <w:tcW w:w="1418" w:type="pct"/>
            <w:vMerge w:val="restart"/>
            <w:noWrap w:val="0"/>
            <w:vAlign w:val="center"/>
          </w:tcPr>
          <w:p w14:paraId="446814B2">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统计学的几个基本概念</w:t>
            </w:r>
          </w:p>
        </w:tc>
        <w:tc>
          <w:tcPr>
            <w:tcW w:w="2509" w:type="pct"/>
            <w:noWrap w:val="0"/>
            <w:vAlign w:val="center"/>
          </w:tcPr>
          <w:p w14:paraId="4C9DA7EB">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）资料的类型</w:t>
            </w:r>
          </w:p>
        </w:tc>
      </w:tr>
      <w:tr w14:paraId="4096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045424D">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1668E298">
            <w:pPr>
              <w:widowControl/>
              <w:spacing w:line="264" w:lineRule="auto"/>
              <w:jc w:val="left"/>
              <w:rPr>
                <w:rFonts w:ascii="宋体" w:hAnsi="宋体" w:cs="宋体"/>
                <w:color w:val="000000"/>
                <w:kern w:val="0"/>
                <w:sz w:val="21"/>
                <w:szCs w:val="21"/>
              </w:rPr>
            </w:pPr>
          </w:p>
        </w:tc>
        <w:tc>
          <w:tcPr>
            <w:tcW w:w="2509" w:type="pct"/>
            <w:noWrap w:val="0"/>
            <w:vAlign w:val="center"/>
          </w:tcPr>
          <w:p w14:paraId="274C0C20">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）总体和样本</w:t>
            </w:r>
          </w:p>
        </w:tc>
      </w:tr>
      <w:tr w14:paraId="706D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6DD9D611">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13AC1DC6">
            <w:pPr>
              <w:widowControl/>
              <w:spacing w:line="264" w:lineRule="auto"/>
              <w:jc w:val="left"/>
              <w:rPr>
                <w:rFonts w:ascii="宋体" w:hAnsi="宋体" w:cs="宋体"/>
                <w:color w:val="000000"/>
                <w:kern w:val="0"/>
                <w:sz w:val="21"/>
                <w:szCs w:val="21"/>
              </w:rPr>
            </w:pPr>
          </w:p>
        </w:tc>
        <w:tc>
          <w:tcPr>
            <w:tcW w:w="2509" w:type="pct"/>
            <w:noWrap w:val="0"/>
            <w:vAlign w:val="center"/>
          </w:tcPr>
          <w:p w14:paraId="7057E3A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）参数和统计量</w:t>
            </w:r>
          </w:p>
        </w:tc>
      </w:tr>
      <w:tr w14:paraId="4A62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1DD15D8">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3EC77B5D">
            <w:pPr>
              <w:widowControl/>
              <w:spacing w:line="264" w:lineRule="auto"/>
              <w:jc w:val="left"/>
              <w:rPr>
                <w:rFonts w:ascii="宋体" w:hAnsi="宋体" w:cs="宋体"/>
                <w:color w:val="000000"/>
                <w:kern w:val="0"/>
                <w:sz w:val="21"/>
                <w:szCs w:val="21"/>
              </w:rPr>
            </w:pPr>
          </w:p>
        </w:tc>
        <w:tc>
          <w:tcPr>
            <w:tcW w:w="2509" w:type="pct"/>
            <w:noWrap w:val="0"/>
            <w:vAlign w:val="center"/>
          </w:tcPr>
          <w:p w14:paraId="4B2B4CD0">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4</w:t>
            </w:r>
            <w:r>
              <w:rPr>
                <w:rFonts w:hint="eastAsia" w:ascii="宋体" w:hAnsi="宋体" w:cs="宋体"/>
                <w:color w:val="000000"/>
                <w:kern w:val="0"/>
                <w:sz w:val="21"/>
                <w:szCs w:val="21"/>
              </w:rPr>
              <w:t>）概率与频率</w:t>
            </w:r>
          </w:p>
        </w:tc>
      </w:tr>
      <w:tr w14:paraId="61E5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4D412D3E">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二、定量资料的统计描述</w:t>
            </w:r>
          </w:p>
        </w:tc>
        <w:tc>
          <w:tcPr>
            <w:tcW w:w="1418" w:type="pct"/>
            <w:noWrap w:val="0"/>
            <w:vAlign w:val="center"/>
          </w:tcPr>
          <w:p w14:paraId="3555FC42">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定量资料的频数分布</w:t>
            </w:r>
          </w:p>
        </w:tc>
        <w:tc>
          <w:tcPr>
            <w:tcW w:w="2509" w:type="pct"/>
            <w:noWrap w:val="0"/>
            <w:vAlign w:val="center"/>
          </w:tcPr>
          <w:p w14:paraId="5ABEF987">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频数分布的类型与用途</w:t>
            </w:r>
          </w:p>
        </w:tc>
      </w:tr>
      <w:tr w14:paraId="5649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1DBD2F69">
            <w:pPr>
              <w:widowControl/>
              <w:spacing w:line="264" w:lineRule="auto"/>
              <w:jc w:val="left"/>
              <w:rPr>
                <w:rFonts w:ascii="宋体" w:hAnsi="宋体" w:cs="宋体"/>
                <w:color w:val="000000"/>
                <w:kern w:val="0"/>
                <w:sz w:val="21"/>
                <w:szCs w:val="21"/>
              </w:rPr>
            </w:pPr>
          </w:p>
        </w:tc>
        <w:tc>
          <w:tcPr>
            <w:tcW w:w="1418" w:type="pct"/>
            <w:noWrap w:val="0"/>
            <w:vAlign w:val="center"/>
          </w:tcPr>
          <w:p w14:paraId="1D1707EC">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集中位置的描述</w:t>
            </w:r>
          </w:p>
        </w:tc>
        <w:tc>
          <w:tcPr>
            <w:tcW w:w="2509" w:type="pct"/>
            <w:noWrap w:val="0"/>
            <w:vAlign w:val="center"/>
          </w:tcPr>
          <w:p w14:paraId="16CFE049">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算术平均数、几何均数、中位数</w:t>
            </w:r>
          </w:p>
        </w:tc>
      </w:tr>
      <w:tr w14:paraId="6162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21872CE">
            <w:pPr>
              <w:widowControl/>
              <w:spacing w:line="264" w:lineRule="auto"/>
              <w:jc w:val="left"/>
              <w:rPr>
                <w:rFonts w:ascii="宋体" w:hAnsi="宋体" w:cs="宋体"/>
                <w:color w:val="000000"/>
                <w:kern w:val="0"/>
                <w:sz w:val="21"/>
                <w:szCs w:val="21"/>
              </w:rPr>
            </w:pPr>
          </w:p>
        </w:tc>
        <w:tc>
          <w:tcPr>
            <w:tcW w:w="1418" w:type="pct"/>
            <w:noWrap w:val="0"/>
            <w:vAlign w:val="center"/>
          </w:tcPr>
          <w:p w14:paraId="470D5636">
            <w:pPr>
              <w:widowControl/>
              <w:spacing w:line="264" w:lineRule="auto"/>
              <w:rPr>
                <w:rFonts w:ascii="宋体" w:hAnsi="宋体"/>
                <w:color w:val="000000"/>
                <w:kern w:val="0"/>
                <w:sz w:val="21"/>
                <w:szCs w:val="21"/>
              </w:rPr>
            </w:pPr>
            <w:r>
              <w:rPr>
                <w:rFonts w:ascii="宋体" w:hAnsi="宋体"/>
                <w:color w:val="000000"/>
                <w:kern w:val="0"/>
                <w:sz w:val="21"/>
                <w:szCs w:val="21"/>
              </w:rPr>
              <w:t>3.</w:t>
            </w:r>
            <w:r>
              <w:rPr>
                <w:rFonts w:hint="eastAsia" w:ascii="宋体" w:hAnsi="宋体"/>
                <w:color w:val="000000"/>
                <w:kern w:val="0"/>
                <w:sz w:val="21"/>
                <w:szCs w:val="21"/>
              </w:rPr>
              <w:t>离散程度的描述</w:t>
            </w:r>
          </w:p>
        </w:tc>
        <w:tc>
          <w:tcPr>
            <w:tcW w:w="2509" w:type="pct"/>
            <w:noWrap w:val="0"/>
            <w:vAlign w:val="center"/>
          </w:tcPr>
          <w:p w14:paraId="2C1A22CD">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极差、四分位数间距、方差、标准差和变异系数</w:t>
            </w:r>
          </w:p>
        </w:tc>
      </w:tr>
      <w:tr w14:paraId="223D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7C356C7">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720C65B6">
            <w:pPr>
              <w:widowControl/>
              <w:spacing w:line="264" w:lineRule="auto"/>
              <w:rPr>
                <w:rFonts w:ascii="宋体" w:hAnsi="宋体"/>
                <w:color w:val="000000"/>
                <w:kern w:val="0"/>
                <w:sz w:val="21"/>
                <w:szCs w:val="21"/>
              </w:rPr>
            </w:pPr>
            <w:r>
              <w:rPr>
                <w:rFonts w:ascii="宋体" w:hAnsi="宋体"/>
                <w:color w:val="000000"/>
                <w:kern w:val="0"/>
                <w:sz w:val="21"/>
                <w:szCs w:val="21"/>
              </w:rPr>
              <w:t>4.</w:t>
            </w:r>
            <w:r>
              <w:rPr>
                <w:rFonts w:hint="eastAsia" w:ascii="宋体" w:hAnsi="宋体"/>
                <w:color w:val="000000"/>
                <w:kern w:val="0"/>
                <w:sz w:val="21"/>
                <w:szCs w:val="21"/>
              </w:rPr>
              <w:t>正态分布</w:t>
            </w:r>
          </w:p>
        </w:tc>
        <w:tc>
          <w:tcPr>
            <w:tcW w:w="2509" w:type="pct"/>
            <w:noWrap w:val="0"/>
            <w:vAlign w:val="center"/>
          </w:tcPr>
          <w:p w14:paraId="7F32AB13">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）正态分布的特征</w:t>
            </w:r>
          </w:p>
        </w:tc>
      </w:tr>
      <w:tr w14:paraId="3F3E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638FDD8E">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39668BCD">
            <w:pPr>
              <w:widowControl/>
              <w:spacing w:line="264" w:lineRule="auto"/>
              <w:jc w:val="left"/>
              <w:rPr>
                <w:rFonts w:ascii="宋体" w:hAnsi="宋体"/>
                <w:color w:val="000000"/>
                <w:kern w:val="0"/>
                <w:sz w:val="21"/>
                <w:szCs w:val="21"/>
              </w:rPr>
            </w:pPr>
          </w:p>
        </w:tc>
        <w:tc>
          <w:tcPr>
            <w:tcW w:w="2509" w:type="pct"/>
            <w:noWrap w:val="0"/>
            <w:vAlign w:val="center"/>
          </w:tcPr>
          <w:p w14:paraId="292CA5CE">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）正态分布曲线下面积分布规律</w:t>
            </w:r>
          </w:p>
        </w:tc>
      </w:tr>
      <w:tr w14:paraId="4FEF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41A1777F">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4B6CD28E">
            <w:pPr>
              <w:widowControl/>
              <w:spacing w:line="264" w:lineRule="auto"/>
              <w:jc w:val="left"/>
              <w:rPr>
                <w:rFonts w:ascii="宋体" w:hAnsi="宋体"/>
                <w:color w:val="000000"/>
                <w:kern w:val="0"/>
                <w:sz w:val="21"/>
                <w:szCs w:val="21"/>
              </w:rPr>
            </w:pPr>
          </w:p>
        </w:tc>
        <w:tc>
          <w:tcPr>
            <w:tcW w:w="2509" w:type="pct"/>
            <w:noWrap w:val="0"/>
            <w:vAlign w:val="center"/>
          </w:tcPr>
          <w:p w14:paraId="463BF96E">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）标准正态分布</w:t>
            </w:r>
          </w:p>
        </w:tc>
      </w:tr>
      <w:tr w14:paraId="155B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177C1A86">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68331C9C">
            <w:pPr>
              <w:widowControl/>
              <w:spacing w:line="264" w:lineRule="auto"/>
              <w:rPr>
                <w:rFonts w:ascii="宋体" w:hAnsi="宋体"/>
                <w:color w:val="000000"/>
                <w:kern w:val="0"/>
                <w:sz w:val="21"/>
                <w:szCs w:val="21"/>
              </w:rPr>
            </w:pPr>
            <w:r>
              <w:rPr>
                <w:rFonts w:ascii="宋体" w:hAnsi="宋体"/>
                <w:color w:val="000000"/>
                <w:kern w:val="0"/>
                <w:sz w:val="21"/>
                <w:szCs w:val="21"/>
              </w:rPr>
              <w:t>5.</w:t>
            </w:r>
            <w:r>
              <w:rPr>
                <w:rFonts w:hint="eastAsia" w:ascii="宋体" w:hAnsi="宋体"/>
                <w:color w:val="000000"/>
                <w:kern w:val="0"/>
                <w:sz w:val="21"/>
                <w:szCs w:val="21"/>
              </w:rPr>
              <w:t>医学参考值范围</w:t>
            </w:r>
          </w:p>
        </w:tc>
        <w:tc>
          <w:tcPr>
            <w:tcW w:w="2509" w:type="pct"/>
            <w:noWrap w:val="0"/>
            <w:vAlign w:val="center"/>
          </w:tcPr>
          <w:p w14:paraId="324111D8">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）正态分布法</w:t>
            </w:r>
          </w:p>
        </w:tc>
      </w:tr>
      <w:tr w14:paraId="2861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D9AB63C">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5820D1E7">
            <w:pPr>
              <w:widowControl/>
              <w:spacing w:line="264" w:lineRule="auto"/>
              <w:jc w:val="left"/>
              <w:rPr>
                <w:rFonts w:ascii="宋体" w:hAnsi="宋体"/>
                <w:color w:val="000000"/>
                <w:kern w:val="0"/>
                <w:sz w:val="21"/>
                <w:szCs w:val="21"/>
              </w:rPr>
            </w:pPr>
          </w:p>
        </w:tc>
        <w:tc>
          <w:tcPr>
            <w:tcW w:w="2509" w:type="pct"/>
            <w:noWrap w:val="0"/>
            <w:vAlign w:val="center"/>
          </w:tcPr>
          <w:p w14:paraId="1BEF527D">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）百分位数法</w:t>
            </w:r>
          </w:p>
        </w:tc>
      </w:tr>
      <w:tr w14:paraId="3C63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5DD17C5D">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三、总体均数的估计和假设检验</w:t>
            </w:r>
          </w:p>
        </w:tc>
        <w:tc>
          <w:tcPr>
            <w:tcW w:w="1418" w:type="pct"/>
            <w:vMerge w:val="restart"/>
            <w:noWrap w:val="0"/>
            <w:vAlign w:val="center"/>
          </w:tcPr>
          <w:p w14:paraId="16C3FE0A">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均数的抽样误差</w:t>
            </w:r>
          </w:p>
        </w:tc>
        <w:tc>
          <w:tcPr>
            <w:tcW w:w="2509" w:type="pct"/>
            <w:noWrap w:val="0"/>
            <w:vAlign w:val="center"/>
          </w:tcPr>
          <w:p w14:paraId="1E6CEB9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）均数抽样误差的概念</w:t>
            </w:r>
          </w:p>
        </w:tc>
      </w:tr>
      <w:tr w14:paraId="3CEE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9DFAED8">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1C0CFA4B">
            <w:pPr>
              <w:widowControl/>
              <w:spacing w:line="264" w:lineRule="auto"/>
              <w:jc w:val="left"/>
              <w:rPr>
                <w:rFonts w:ascii="宋体" w:hAnsi="宋体"/>
                <w:color w:val="000000"/>
                <w:kern w:val="0"/>
                <w:sz w:val="21"/>
                <w:szCs w:val="21"/>
              </w:rPr>
            </w:pPr>
          </w:p>
        </w:tc>
        <w:tc>
          <w:tcPr>
            <w:tcW w:w="2509" w:type="pct"/>
            <w:noWrap w:val="0"/>
            <w:vAlign w:val="center"/>
          </w:tcPr>
          <w:p w14:paraId="55EA95A5">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）标准误的含义和计算</w:t>
            </w:r>
          </w:p>
        </w:tc>
      </w:tr>
      <w:tr w14:paraId="2D9C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55A333BF">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54BFCCD4">
            <w:pPr>
              <w:widowControl/>
              <w:spacing w:line="264" w:lineRule="auto"/>
              <w:rPr>
                <w:rFonts w:ascii="宋体" w:hAnsi="宋体"/>
                <w:color w:val="000000"/>
                <w:kern w:val="0"/>
                <w:sz w:val="21"/>
                <w:szCs w:val="21"/>
              </w:rPr>
            </w:pPr>
            <w:r>
              <w:rPr>
                <w:rFonts w:ascii="宋体" w:hAnsi="宋体"/>
                <w:color w:val="000000"/>
                <w:kern w:val="0"/>
                <w:sz w:val="21"/>
                <w:szCs w:val="21"/>
              </w:rPr>
              <w:t>2.t</w:t>
            </w:r>
            <w:r>
              <w:rPr>
                <w:rFonts w:hint="eastAsia" w:ascii="宋体" w:hAnsi="宋体"/>
                <w:color w:val="000000"/>
                <w:kern w:val="0"/>
                <w:sz w:val="21"/>
                <w:szCs w:val="21"/>
              </w:rPr>
              <w:t>分布</w:t>
            </w:r>
          </w:p>
        </w:tc>
        <w:tc>
          <w:tcPr>
            <w:tcW w:w="2509" w:type="pct"/>
            <w:noWrap w:val="0"/>
            <w:vAlign w:val="center"/>
          </w:tcPr>
          <w:p w14:paraId="22606D17">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w:t>
            </w:r>
            <w:r>
              <w:rPr>
                <w:rFonts w:ascii="宋体" w:hAnsi="宋体"/>
                <w:color w:val="000000"/>
                <w:kern w:val="0"/>
                <w:sz w:val="21"/>
                <w:szCs w:val="21"/>
              </w:rPr>
              <w:t>t</w:t>
            </w:r>
            <w:r>
              <w:rPr>
                <w:rFonts w:hint="eastAsia" w:ascii="宋体" w:hAnsi="宋体" w:cs="宋体"/>
                <w:color w:val="000000"/>
                <w:kern w:val="0"/>
                <w:sz w:val="21"/>
                <w:szCs w:val="21"/>
              </w:rPr>
              <w:t>分布的特征</w:t>
            </w:r>
          </w:p>
        </w:tc>
      </w:tr>
      <w:tr w14:paraId="2889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267223F">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550D9E56">
            <w:pPr>
              <w:widowControl/>
              <w:spacing w:line="264" w:lineRule="auto"/>
              <w:jc w:val="left"/>
              <w:rPr>
                <w:rFonts w:ascii="宋体" w:hAnsi="宋体"/>
                <w:color w:val="000000"/>
                <w:kern w:val="0"/>
                <w:sz w:val="21"/>
                <w:szCs w:val="21"/>
              </w:rPr>
            </w:pPr>
          </w:p>
        </w:tc>
        <w:tc>
          <w:tcPr>
            <w:tcW w:w="2509" w:type="pct"/>
            <w:noWrap w:val="0"/>
            <w:vAlign w:val="center"/>
          </w:tcPr>
          <w:p w14:paraId="682A8247">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w:t>
            </w:r>
            <w:r>
              <w:rPr>
                <w:rFonts w:ascii="宋体" w:hAnsi="宋体"/>
                <w:color w:val="000000"/>
                <w:kern w:val="0"/>
                <w:sz w:val="21"/>
                <w:szCs w:val="21"/>
              </w:rPr>
              <w:t>t</w:t>
            </w:r>
            <w:r>
              <w:rPr>
                <w:rFonts w:hint="eastAsia" w:ascii="宋体" w:hAnsi="宋体" w:cs="宋体"/>
                <w:color w:val="000000"/>
                <w:kern w:val="0"/>
                <w:sz w:val="21"/>
                <w:szCs w:val="21"/>
              </w:rPr>
              <w:t>界值表的使用</w:t>
            </w:r>
          </w:p>
        </w:tc>
      </w:tr>
      <w:tr w14:paraId="35EA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0A6C91E">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14BC9829">
            <w:pPr>
              <w:widowControl/>
              <w:spacing w:line="264" w:lineRule="auto"/>
              <w:rPr>
                <w:rFonts w:ascii="宋体" w:hAnsi="宋体"/>
                <w:color w:val="000000"/>
                <w:kern w:val="0"/>
                <w:sz w:val="21"/>
                <w:szCs w:val="21"/>
              </w:rPr>
            </w:pPr>
            <w:r>
              <w:rPr>
                <w:rFonts w:ascii="宋体" w:hAnsi="宋体"/>
                <w:color w:val="000000"/>
                <w:kern w:val="0"/>
                <w:sz w:val="21"/>
                <w:szCs w:val="21"/>
              </w:rPr>
              <w:t>3.</w:t>
            </w:r>
            <w:r>
              <w:rPr>
                <w:rFonts w:hint="eastAsia" w:ascii="宋体" w:hAnsi="宋体"/>
                <w:color w:val="000000"/>
                <w:kern w:val="0"/>
                <w:sz w:val="21"/>
                <w:szCs w:val="21"/>
              </w:rPr>
              <w:t>总体均数的估计</w:t>
            </w:r>
          </w:p>
        </w:tc>
        <w:tc>
          <w:tcPr>
            <w:tcW w:w="2509" w:type="pct"/>
            <w:noWrap w:val="0"/>
            <w:vAlign w:val="center"/>
          </w:tcPr>
          <w:p w14:paraId="1A1F435F">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）总体均数估计的概念与意义</w:t>
            </w:r>
          </w:p>
        </w:tc>
      </w:tr>
      <w:tr w14:paraId="34FC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651F1957">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4F0CA6F8">
            <w:pPr>
              <w:widowControl/>
              <w:spacing w:line="264" w:lineRule="auto"/>
              <w:jc w:val="left"/>
              <w:rPr>
                <w:rFonts w:ascii="宋体" w:hAnsi="宋体"/>
                <w:color w:val="000000"/>
                <w:kern w:val="0"/>
                <w:sz w:val="21"/>
                <w:szCs w:val="21"/>
              </w:rPr>
            </w:pPr>
          </w:p>
        </w:tc>
        <w:tc>
          <w:tcPr>
            <w:tcW w:w="2509" w:type="pct"/>
            <w:noWrap w:val="0"/>
            <w:vAlign w:val="center"/>
          </w:tcPr>
          <w:p w14:paraId="51F6D9CE">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）置信区间的含义与应用</w:t>
            </w:r>
          </w:p>
        </w:tc>
      </w:tr>
      <w:tr w14:paraId="3AF1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6C8AC32E">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560B98EE">
            <w:pPr>
              <w:widowControl/>
              <w:spacing w:line="264" w:lineRule="auto"/>
              <w:jc w:val="left"/>
              <w:rPr>
                <w:rFonts w:ascii="宋体" w:hAnsi="宋体"/>
                <w:color w:val="000000"/>
                <w:kern w:val="0"/>
                <w:sz w:val="21"/>
                <w:szCs w:val="21"/>
              </w:rPr>
            </w:pPr>
          </w:p>
        </w:tc>
        <w:tc>
          <w:tcPr>
            <w:tcW w:w="2509" w:type="pct"/>
            <w:noWrap w:val="0"/>
            <w:vAlign w:val="center"/>
          </w:tcPr>
          <w:p w14:paraId="3D684FB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）均数置信区间与医学参考值范围的区别</w:t>
            </w:r>
          </w:p>
        </w:tc>
      </w:tr>
      <w:tr w14:paraId="6A95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26704BB9">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1E7D4882">
            <w:pPr>
              <w:widowControl/>
              <w:spacing w:line="264" w:lineRule="auto"/>
              <w:rPr>
                <w:rFonts w:ascii="宋体" w:hAnsi="宋体"/>
                <w:color w:val="000000"/>
                <w:kern w:val="0"/>
                <w:sz w:val="21"/>
                <w:szCs w:val="21"/>
              </w:rPr>
            </w:pPr>
            <w:r>
              <w:rPr>
                <w:rFonts w:ascii="宋体" w:hAnsi="宋体"/>
                <w:color w:val="000000"/>
                <w:kern w:val="0"/>
                <w:sz w:val="21"/>
                <w:szCs w:val="21"/>
              </w:rPr>
              <w:t>4.</w:t>
            </w:r>
            <w:r>
              <w:rPr>
                <w:rFonts w:hint="eastAsia" w:ascii="宋体" w:hAnsi="宋体"/>
                <w:color w:val="000000"/>
                <w:kern w:val="0"/>
                <w:sz w:val="21"/>
                <w:szCs w:val="21"/>
              </w:rPr>
              <w:t>假设检验</w:t>
            </w:r>
          </w:p>
        </w:tc>
        <w:tc>
          <w:tcPr>
            <w:tcW w:w="2509" w:type="pct"/>
            <w:noWrap w:val="0"/>
            <w:vAlign w:val="center"/>
          </w:tcPr>
          <w:p w14:paraId="0616648E">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）假设检验的基本思想</w:t>
            </w:r>
          </w:p>
        </w:tc>
      </w:tr>
      <w:tr w14:paraId="3A6D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52514068">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24FFCAD0">
            <w:pPr>
              <w:widowControl/>
              <w:spacing w:line="264" w:lineRule="auto"/>
              <w:jc w:val="left"/>
              <w:rPr>
                <w:rFonts w:ascii="宋体" w:hAnsi="宋体"/>
                <w:color w:val="000000"/>
                <w:kern w:val="0"/>
                <w:sz w:val="21"/>
                <w:szCs w:val="21"/>
              </w:rPr>
            </w:pPr>
          </w:p>
        </w:tc>
        <w:tc>
          <w:tcPr>
            <w:tcW w:w="2509" w:type="pct"/>
            <w:noWrap w:val="0"/>
            <w:vAlign w:val="center"/>
          </w:tcPr>
          <w:p w14:paraId="6127B44A">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）假设检验的基本步骤</w:t>
            </w:r>
          </w:p>
        </w:tc>
      </w:tr>
      <w:tr w14:paraId="11DC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921058C">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1450D6ED">
            <w:pPr>
              <w:widowControl/>
              <w:spacing w:line="264" w:lineRule="auto"/>
              <w:rPr>
                <w:rFonts w:ascii="宋体" w:hAnsi="宋体"/>
                <w:color w:val="000000"/>
                <w:kern w:val="0"/>
                <w:sz w:val="21"/>
                <w:szCs w:val="21"/>
              </w:rPr>
            </w:pPr>
            <w:r>
              <w:rPr>
                <w:rFonts w:ascii="宋体" w:hAnsi="宋体"/>
                <w:color w:val="000000"/>
                <w:kern w:val="0"/>
                <w:sz w:val="21"/>
                <w:szCs w:val="21"/>
              </w:rPr>
              <w:t>5.t</w:t>
            </w:r>
            <w:r>
              <w:rPr>
                <w:rFonts w:hint="eastAsia" w:ascii="宋体" w:hAnsi="宋体"/>
                <w:color w:val="000000"/>
                <w:kern w:val="0"/>
                <w:sz w:val="21"/>
                <w:szCs w:val="21"/>
              </w:rPr>
              <w:t>检验</w:t>
            </w:r>
          </w:p>
        </w:tc>
        <w:tc>
          <w:tcPr>
            <w:tcW w:w="2509" w:type="pct"/>
            <w:noWrap w:val="0"/>
            <w:vAlign w:val="center"/>
          </w:tcPr>
          <w:p w14:paraId="40CBE2B4">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）样本均数与总体均数比较的</w:t>
            </w:r>
            <w:r>
              <w:rPr>
                <w:rFonts w:ascii="宋体" w:hAnsi="宋体"/>
                <w:color w:val="000000"/>
                <w:kern w:val="0"/>
                <w:sz w:val="21"/>
                <w:szCs w:val="21"/>
              </w:rPr>
              <w:t>t</w:t>
            </w:r>
            <w:r>
              <w:rPr>
                <w:rFonts w:hint="eastAsia" w:ascii="宋体" w:hAnsi="宋体" w:cs="宋体"/>
                <w:color w:val="000000"/>
                <w:kern w:val="0"/>
                <w:sz w:val="21"/>
                <w:szCs w:val="21"/>
              </w:rPr>
              <w:t>检验</w:t>
            </w:r>
          </w:p>
        </w:tc>
      </w:tr>
      <w:tr w14:paraId="54D6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2C39238B">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38D3127A">
            <w:pPr>
              <w:widowControl/>
              <w:spacing w:line="264" w:lineRule="auto"/>
              <w:jc w:val="left"/>
              <w:rPr>
                <w:rFonts w:ascii="宋体" w:hAnsi="宋体"/>
                <w:color w:val="000000"/>
                <w:kern w:val="0"/>
                <w:sz w:val="21"/>
                <w:szCs w:val="21"/>
              </w:rPr>
            </w:pPr>
          </w:p>
        </w:tc>
        <w:tc>
          <w:tcPr>
            <w:tcW w:w="2509" w:type="pct"/>
            <w:noWrap w:val="0"/>
            <w:vAlign w:val="center"/>
          </w:tcPr>
          <w:p w14:paraId="3F39B765">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）配对</w:t>
            </w:r>
            <w:r>
              <w:rPr>
                <w:rFonts w:ascii="宋体" w:hAnsi="宋体"/>
                <w:color w:val="000000"/>
                <w:kern w:val="0"/>
                <w:sz w:val="21"/>
                <w:szCs w:val="21"/>
              </w:rPr>
              <w:t>t</w:t>
            </w:r>
            <w:r>
              <w:rPr>
                <w:rFonts w:hint="eastAsia" w:ascii="宋体" w:hAnsi="宋体" w:cs="宋体"/>
                <w:color w:val="000000"/>
                <w:kern w:val="0"/>
                <w:sz w:val="21"/>
                <w:szCs w:val="21"/>
              </w:rPr>
              <w:t>检验</w:t>
            </w:r>
          </w:p>
        </w:tc>
      </w:tr>
      <w:tr w14:paraId="7909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366F189">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2F03483B">
            <w:pPr>
              <w:widowControl/>
              <w:spacing w:line="264" w:lineRule="auto"/>
              <w:jc w:val="left"/>
              <w:rPr>
                <w:rFonts w:ascii="宋体" w:hAnsi="宋体"/>
                <w:color w:val="000000"/>
                <w:kern w:val="0"/>
                <w:sz w:val="21"/>
                <w:szCs w:val="21"/>
              </w:rPr>
            </w:pPr>
          </w:p>
        </w:tc>
        <w:tc>
          <w:tcPr>
            <w:tcW w:w="2509" w:type="pct"/>
            <w:noWrap w:val="0"/>
            <w:vAlign w:val="center"/>
          </w:tcPr>
          <w:p w14:paraId="5772CD50">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）成组</w:t>
            </w:r>
            <w:r>
              <w:rPr>
                <w:rFonts w:ascii="宋体" w:hAnsi="宋体"/>
                <w:color w:val="000000"/>
                <w:kern w:val="0"/>
                <w:sz w:val="21"/>
                <w:szCs w:val="21"/>
              </w:rPr>
              <w:t>t</w:t>
            </w:r>
            <w:r>
              <w:rPr>
                <w:rFonts w:hint="eastAsia" w:ascii="宋体" w:hAnsi="宋体" w:cs="宋体"/>
                <w:color w:val="000000"/>
                <w:kern w:val="0"/>
                <w:sz w:val="21"/>
                <w:szCs w:val="21"/>
              </w:rPr>
              <w:t>检验</w:t>
            </w:r>
          </w:p>
        </w:tc>
      </w:tr>
      <w:tr w14:paraId="1AF1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DC6D41A">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670482D4">
            <w:pPr>
              <w:widowControl/>
              <w:spacing w:line="264" w:lineRule="auto"/>
              <w:rPr>
                <w:rFonts w:ascii="宋体" w:hAnsi="宋体"/>
                <w:color w:val="000000"/>
                <w:kern w:val="0"/>
                <w:sz w:val="21"/>
                <w:szCs w:val="21"/>
              </w:rPr>
            </w:pPr>
            <w:r>
              <w:rPr>
                <w:rFonts w:ascii="宋体" w:hAnsi="宋体"/>
                <w:color w:val="000000"/>
                <w:kern w:val="0"/>
                <w:sz w:val="21"/>
                <w:szCs w:val="21"/>
              </w:rPr>
              <w:t>6.</w:t>
            </w:r>
            <w:r>
              <w:rPr>
                <w:rFonts w:hint="eastAsia" w:ascii="宋体" w:hAnsi="宋体"/>
                <w:color w:val="000000"/>
                <w:kern w:val="0"/>
                <w:sz w:val="21"/>
                <w:szCs w:val="21"/>
              </w:rPr>
              <w:t>Ⅰ型错误与Ⅱ型错误</w:t>
            </w:r>
          </w:p>
        </w:tc>
        <w:tc>
          <w:tcPr>
            <w:tcW w:w="2509" w:type="pct"/>
            <w:noWrap w:val="0"/>
            <w:vAlign w:val="center"/>
          </w:tcPr>
          <w:p w14:paraId="677F004E">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）Ⅰ型错误与Ⅱ型错误的概念</w:t>
            </w:r>
          </w:p>
        </w:tc>
      </w:tr>
      <w:tr w14:paraId="5F8F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3A31608">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17986193">
            <w:pPr>
              <w:widowControl/>
              <w:spacing w:line="264" w:lineRule="auto"/>
              <w:jc w:val="left"/>
              <w:rPr>
                <w:rFonts w:ascii="宋体" w:hAnsi="宋体"/>
                <w:color w:val="000000"/>
                <w:kern w:val="0"/>
                <w:sz w:val="21"/>
                <w:szCs w:val="21"/>
              </w:rPr>
            </w:pPr>
          </w:p>
        </w:tc>
        <w:tc>
          <w:tcPr>
            <w:tcW w:w="2509" w:type="pct"/>
            <w:noWrap w:val="0"/>
            <w:vAlign w:val="center"/>
          </w:tcPr>
          <w:p w14:paraId="6E5EAFE4">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）检验效能的概念</w:t>
            </w:r>
          </w:p>
        </w:tc>
      </w:tr>
      <w:tr w14:paraId="63AF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E9CDCA9">
            <w:pPr>
              <w:widowControl/>
              <w:spacing w:line="264" w:lineRule="auto"/>
              <w:jc w:val="left"/>
              <w:rPr>
                <w:rFonts w:ascii="宋体" w:hAnsi="宋体" w:cs="宋体"/>
                <w:color w:val="000000"/>
                <w:kern w:val="0"/>
                <w:sz w:val="21"/>
                <w:szCs w:val="21"/>
              </w:rPr>
            </w:pPr>
          </w:p>
        </w:tc>
        <w:tc>
          <w:tcPr>
            <w:tcW w:w="1418" w:type="pct"/>
            <w:noWrap w:val="0"/>
            <w:vAlign w:val="center"/>
          </w:tcPr>
          <w:p w14:paraId="19F4AFE7">
            <w:pPr>
              <w:widowControl/>
              <w:spacing w:line="264" w:lineRule="auto"/>
              <w:rPr>
                <w:rFonts w:ascii="宋体" w:hAnsi="宋体"/>
                <w:color w:val="000000"/>
                <w:kern w:val="0"/>
                <w:sz w:val="21"/>
                <w:szCs w:val="21"/>
              </w:rPr>
            </w:pPr>
            <w:r>
              <w:rPr>
                <w:rFonts w:ascii="宋体" w:hAnsi="宋体"/>
                <w:color w:val="000000"/>
                <w:kern w:val="0"/>
                <w:sz w:val="21"/>
                <w:szCs w:val="21"/>
              </w:rPr>
              <w:t>7.</w:t>
            </w:r>
            <w:r>
              <w:rPr>
                <w:rFonts w:hint="eastAsia" w:ascii="宋体" w:hAnsi="宋体"/>
                <w:color w:val="000000"/>
                <w:kern w:val="0"/>
                <w:sz w:val="21"/>
                <w:szCs w:val="21"/>
              </w:rPr>
              <w:t>假设检验的注意事项</w:t>
            </w:r>
          </w:p>
        </w:tc>
        <w:tc>
          <w:tcPr>
            <w:tcW w:w="2509" w:type="pct"/>
            <w:noWrap w:val="0"/>
            <w:vAlign w:val="center"/>
          </w:tcPr>
          <w:p w14:paraId="095251F2">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假设检验的注意事项</w:t>
            </w:r>
          </w:p>
        </w:tc>
      </w:tr>
      <w:tr w14:paraId="4AA7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7548AEA3">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四、方差分析</w:t>
            </w:r>
          </w:p>
        </w:tc>
        <w:tc>
          <w:tcPr>
            <w:tcW w:w="1418" w:type="pct"/>
            <w:noWrap w:val="0"/>
            <w:vAlign w:val="center"/>
          </w:tcPr>
          <w:p w14:paraId="08659460">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方差分析的基本思想</w:t>
            </w:r>
          </w:p>
        </w:tc>
        <w:tc>
          <w:tcPr>
            <w:tcW w:w="2509" w:type="pct"/>
            <w:noWrap w:val="0"/>
            <w:vAlign w:val="center"/>
          </w:tcPr>
          <w:p w14:paraId="35786812">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方差分析的基本思想和适用条件</w:t>
            </w:r>
          </w:p>
        </w:tc>
      </w:tr>
      <w:tr w14:paraId="437B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12FC1784">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37482D33">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多个均数的比较</w:t>
            </w:r>
          </w:p>
        </w:tc>
        <w:tc>
          <w:tcPr>
            <w:tcW w:w="2509" w:type="pct"/>
            <w:noWrap w:val="0"/>
            <w:vAlign w:val="center"/>
          </w:tcPr>
          <w:p w14:paraId="4CD8A830">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）完全随机设计方差分析</w:t>
            </w:r>
          </w:p>
        </w:tc>
      </w:tr>
      <w:tr w14:paraId="2BCE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D15F743">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377AC573">
            <w:pPr>
              <w:widowControl/>
              <w:spacing w:line="264" w:lineRule="auto"/>
              <w:jc w:val="left"/>
              <w:rPr>
                <w:rFonts w:ascii="宋体" w:hAnsi="宋体"/>
                <w:color w:val="000000"/>
                <w:kern w:val="0"/>
                <w:sz w:val="21"/>
                <w:szCs w:val="21"/>
              </w:rPr>
            </w:pPr>
          </w:p>
        </w:tc>
        <w:tc>
          <w:tcPr>
            <w:tcW w:w="2509" w:type="pct"/>
            <w:noWrap w:val="0"/>
            <w:vAlign w:val="center"/>
          </w:tcPr>
          <w:p w14:paraId="3A0FD08E">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）随机区组设计方差分析</w:t>
            </w:r>
          </w:p>
        </w:tc>
      </w:tr>
      <w:tr w14:paraId="6605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8F97658">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1A170D5D">
            <w:pPr>
              <w:widowControl/>
              <w:spacing w:line="264" w:lineRule="auto"/>
              <w:jc w:val="left"/>
              <w:rPr>
                <w:rFonts w:ascii="宋体" w:hAnsi="宋体"/>
                <w:color w:val="000000"/>
                <w:kern w:val="0"/>
                <w:sz w:val="21"/>
                <w:szCs w:val="21"/>
              </w:rPr>
            </w:pPr>
          </w:p>
        </w:tc>
        <w:tc>
          <w:tcPr>
            <w:tcW w:w="2509" w:type="pct"/>
            <w:noWrap w:val="0"/>
            <w:vAlign w:val="center"/>
          </w:tcPr>
          <w:p w14:paraId="2117B36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）多个均数间两两比较</w:t>
            </w:r>
          </w:p>
        </w:tc>
      </w:tr>
      <w:tr w14:paraId="6367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1D9257B6">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五、分类资料的统计描述</w:t>
            </w:r>
          </w:p>
        </w:tc>
        <w:tc>
          <w:tcPr>
            <w:tcW w:w="1418" w:type="pct"/>
            <w:noWrap w:val="0"/>
            <w:vAlign w:val="center"/>
          </w:tcPr>
          <w:p w14:paraId="64362D9A">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常用相对数</w:t>
            </w:r>
          </w:p>
        </w:tc>
        <w:tc>
          <w:tcPr>
            <w:tcW w:w="2509" w:type="pct"/>
            <w:noWrap w:val="0"/>
            <w:vAlign w:val="center"/>
          </w:tcPr>
          <w:p w14:paraId="3F07E60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率、构成比、比的意义与应用</w:t>
            </w:r>
          </w:p>
        </w:tc>
      </w:tr>
      <w:tr w14:paraId="4924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1D3BFA8D">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662C0A5E">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应用相对数应注意的问题</w:t>
            </w:r>
          </w:p>
        </w:tc>
        <w:tc>
          <w:tcPr>
            <w:tcW w:w="2509" w:type="pct"/>
            <w:noWrap w:val="0"/>
            <w:vAlign w:val="center"/>
          </w:tcPr>
          <w:p w14:paraId="4ADE2FAF">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）构成比和率在应用中的区别</w:t>
            </w:r>
          </w:p>
        </w:tc>
      </w:tr>
      <w:tr w14:paraId="1C4E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1C3A8422">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1FC95B2F">
            <w:pPr>
              <w:widowControl/>
              <w:spacing w:line="264" w:lineRule="auto"/>
              <w:jc w:val="left"/>
              <w:rPr>
                <w:rFonts w:ascii="宋体" w:hAnsi="宋体"/>
                <w:color w:val="000000"/>
                <w:kern w:val="0"/>
                <w:sz w:val="21"/>
                <w:szCs w:val="21"/>
              </w:rPr>
            </w:pPr>
          </w:p>
        </w:tc>
        <w:tc>
          <w:tcPr>
            <w:tcW w:w="2509" w:type="pct"/>
            <w:noWrap w:val="0"/>
            <w:vAlign w:val="center"/>
          </w:tcPr>
          <w:p w14:paraId="6DA17796">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）合计率的计算</w:t>
            </w:r>
          </w:p>
        </w:tc>
      </w:tr>
      <w:tr w14:paraId="0D87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126D9F0">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6B462E88">
            <w:pPr>
              <w:widowControl/>
              <w:spacing w:line="264" w:lineRule="auto"/>
              <w:jc w:val="left"/>
              <w:rPr>
                <w:rFonts w:ascii="宋体" w:hAnsi="宋体"/>
                <w:color w:val="000000"/>
                <w:kern w:val="0"/>
                <w:sz w:val="21"/>
                <w:szCs w:val="21"/>
              </w:rPr>
            </w:pPr>
          </w:p>
        </w:tc>
        <w:tc>
          <w:tcPr>
            <w:tcW w:w="2509" w:type="pct"/>
            <w:noWrap w:val="0"/>
            <w:vAlign w:val="center"/>
          </w:tcPr>
          <w:p w14:paraId="16B50A10">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）指标的可比性</w:t>
            </w:r>
          </w:p>
        </w:tc>
      </w:tr>
      <w:tr w14:paraId="3426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5C68DA49">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3CBAACDC">
            <w:pPr>
              <w:widowControl/>
              <w:spacing w:line="264" w:lineRule="auto"/>
              <w:jc w:val="left"/>
              <w:rPr>
                <w:rFonts w:ascii="宋体" w:hAnsi="宋体"/>
                <w:color w:val="000000"/>
                <w:kern w:val="0"/>
                <w:sz w:val="21"/>
                <w:szCs w:val="21"/>
              </w:rPr>
            </w:pPr>
          </w:p>
        </w:tc>
        <w:tc>
          <w:tcPr>
            <w:tcW w:w="2509" w:type="pct"/>
            <w:noWrap w:val="0"/>
            <w:vAlign w:val="center"/>
          </w:tcPr>
          <w:p w14:paraId="266089AB">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4</w:t>
            </w:r>
            <w:r>
              <w:rPr>
                <w:rFonts w:hint="eastAsia" w:ascii="宋体" w:hAnsi="宋体" w:cs="宋体"/>
                <w:color w:val="000000"/>
                <w:kern w:val="0"/>
                <w:sz w:val="21"/>
                <w:szCs w:val="21"/>
              </w:rPr>
              <w:t>）观察例数问题</w:t>
            </w:r>
          </w:p>
        </w:tc>
      </w:tr>
      <w:tr w14:paraId="4883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21B7C03E">
            <w:pPr>
              <w:widowControl/>
              <w:spacing w:line="264" w:lineRule="auto"/>
              <w:jc w:val="left"/>
              <w:rPr>
                <w:rFonts w:ascii="宋体" w:hAnsi="宋体" w:cs="宋体"/>
                <w:color w:val="000000"/>
                <w:kern w:val="0"/>
                <w:sz w:val="21"/>
                <w:szCs w:val="21"/>
              </w:rPr>
            </w:pPr>
          </w:p>
        </w:tc>
        <w:tc>
          <w:tcPr>
            <w:tcW w:w="1418" w:type="pct"/>
            <w:noWrap w:val="0"/>
            <w:vAlign w:val="center"/>
          </w:tcPr>
          <w:p w14:paraId="753DDB38">
            <w:pPr>
              <w:widowControl/>
              <w:spacing w:line="264" w:lineRule="auto"/>
              <w:rPr>
                <w:rFonts w:ascii="宋体" w:hAnsi="宋体"/>
                <w:color w:val="000000"/>
                <w:kern w:val="0"/>
                <w:sz w:val="21"/>
                <w:szCs w:val="21"/>
              </w:rPr>
            </w:pPr>
            <w:r>
              <w:rPr>
                <w:rFonts w:ascii="宋体" w:hAnsi="宋体"/>
                <w:color w:val="000000"/>
                <w:kern w:val="0"/>
                <w:sz w:val="21"/>
                <w:szCs w:val="21"/>
              </w:rPr>
              <w:t>3.</w:t>
            </w:r>
            <w:r>
              <w:rPr>
                <w:rFonts w:hint="eastAsia" w:ascii="宋体" w:hAnsi="宋体"/>
                <w:color w:val="000000"/>
                <w:kern w:val="0"/>
                <w:sz w:val="21"/>
                <w:szCs w:val="21"/>
              </w:rPr>
              <w:t>动态数列及其分析指标</w:t>
            </w:r>
          </w:p>
        </w:tc>
        <w:tc>
          <w:tcPr>
            <w:tcW w:w="2509" w:type="pct"/>
            <w:noWrap w:val="0"/>
            <w:vAlign w:val="center"/>
          </w:tcPr>
          <w:p w14:paraId="405BA268">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动态数列常用的分析指标及其应用</w:t>
            </w:r>
          </w:p>
        </w:tc>
      </w:tr>
      <w:tr w14:paraId="7255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B68ABDE">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2048F268">
            <w:pPr>
              <w:widowControl/>
              <w:spacing w:line="264" w:lineRule="auto"/>
              <w:rPr>
                <w:rFonts w:ascii="宋体" w:hAnsi="宋体"/>
                <w:color w:val="000000"/>
                <w:kern w:val="0"/>
                <w:sz w:val="21"/>
                <w:szCs w:val="21"/>
              </w:rPr>
            </w:pPr>
            <w:r>
              <w:rPr>
                <w:rFonts w:ascii="宋体" w:hAnsi="宋体"/>
                <w:color w:val="000000"/>
                <w:kern w:val="0"/>
                <w:sz w:val="21"/>
                <w:szCs w:val="21"/>
              </w:rPr>
              <w:t>4.</w:t>
            </w:r>
            <w:r>
              <w:rPr>
                <w:rFonts w:hint="eastAsia" w:ascii="宋体" w:hAnsi="宋体"/>
                <w:color w:val="000000"/>
                <w:kern w:val="0"/>
                <w:sz w:val="21"/>
                <w:szCs w:val="21"/>
              </w:rPr>
              <w:t>标准化法</w:t>
            </w:r>
          </w:p>
        </w:tc>
        <w:tc>
          <w:tcPr>
            <w:tcW w:w="2509" w:type="pct"/>
            <w:noWrap w:val="0"/>
            <w:vAlign w:val="center"/>
          </w:tcPr>
          <w:p w14:paraId="600868E0">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）标准化的基本思想及其意义</w:t>
            </w:r>
          </w:p>
        </w:tc>
      </w:tr>
      <w:tr w14:paraId="1DD3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6EE84931">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505F35BD">
            <w:pPr>
              <w:widowControl/>
              <w:spacing w:line="264" w:lineRule="auto"/>
              <w:jc w:val="left"/>
              <w:rPr>
                <w:rFonts w:ascii="宋体" w:hAnsi="宋体"/>
                <w:color w:val="000000"/>
                <w:kern w:val="0"/>
                <w:sz w:val="21"/>
                <w:szCs w:val="21"/>
              </w:rPr>
            </w:pPr>
          </w:p>
        </w:tc>
        <w:tc>
          <w:tcPr>
            <w:tcW w:w="2509" w:type="pct"/>
            <w:noWrap w:val="0"/>
            <w:vAlign w:val="center"/>
          </w:tcPr>
          <w:p w14:paraId="169A96BF">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）直接和间接标准化法的应用</w:t>
            </w:r>
          </w:p>
        </w:tc>
      </w:tr>
      <w:tr w14:paraId="7317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C9105EF">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2D2350D6">
            <w:pPr>
              <w:widowControl/>
              <w:spacing w:line="264" w:lineRule="auto"/>
              <w:jc w:val="left"/>
              <w:rPr>
                <w:rFonts w:ascii="宋体" w:hAnsi="宋体"/>
                <w:color w:val="000000"/>
                <w:kern w:val="0"/>
                <w:sz w:val="21"/>
                <w:szCs w:val="21"/>
              </w:rPr>
            </w:pPr>
          </w:p>
        </w:tc>
        <w:tc>
          <w:tcPr>
            <w:tcW w:w="2509" w:type="pct"/>
            <w:noWrap w:val="0"/>
            <w:vAlign w:val="center"/>
          </w:tcPr>
          <w:p w14:paraId="637F3B95">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）标准化死亡比的含义</w:t>
            </w:r>
          </w:p>
        </w:tc>
      </w:tr>
      <w:tr w14:paraId="6C0D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2A4AB7F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六、率的抽样误差与</w:t>
            </w:r>
            <w:r>
              <w:rPr>
                <w:rFonts w:ascii="宋体" w:hAnsi="宋体"/>
                <w:color w:val="000000"/>
                <w:kern w:val="0"/>
                <w:sz w:val="21"/>
                <w:szCs w:val="21"/>
              </w:rPr>
              <w:t>Z</w:t>
            </w:r>
            <w:r>
              <w:rPr>
                <w:rFonts w:hint="eastAsia" w:ascii="宋体" w:hAnsi="宋体" w:cs="宋体"/>
                <w:color w:val="000000"/>
                <w:kern w:val="0"/>
                <w:sz w:val="21"/>
                <w:szCs w:val="21"/>
              </w:rPr>
              <w:t>检验</w:t>
            </w:r>
          </w:p>
        </w:tc>
        <w:tc>
          <w:tcPr>
            <w:tcW w:w="1418" w:type="pct"/>
            <w:vMerge w:val="restart"/>
            <w:noWrap w:val="0"/>
            <w:vAlign w:val="center"/>
          </w:tcPr>
          <w:p w14:paraId="7D875692">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率的标准误</w:t>
            </w:r>
          </w:p>
        </w:tc>
        <w:tc>
          <w:tcPr>
            <w:tcW w:w="2509" w:type="pct"/>
            <w:noWrap w:val="0"/>
            <w:vAlign w:val="center"/>
          </w:tcPr>
          <w:p w14:paraId="29491DFF">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）率的抽样误差的概念</w:t>
            </w:r>
          </w:p>
        </w:tc>
      </w:tr>
      <w:tr w14:paraId="68AC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40A7F8C3">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2B015DB3">
            <w:pPr>
              <w:widowControl/>
              <w:spacing w:line="264" w:lineRule="auto"/>
              <w:jc w:val="left"/>
              <w:rPr>
                <w:rFonts w:ascii="宋体" w:hAnsi="宋体"/>
                <w:color w:val="000000"/>
                <w:kern w:val="0"/>
                <w:sz w:val="21"/>
                <w:szCs w:val="21"/>
              </w:rPr>
            </w:pPr>
          </w:p>
        </w:tc>
        <w:tc>
          <w:tcPr>
            <w:tcW w:w="2509" w:type="pct"/>
            <w:noWrap w:val="0"/>
            <w:vAlign w:val="center"/>
          </w:tcPr>
          <w:p w14:paraId="35A11FB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）率的标准误的含义与计算</w:t>
            </w:r>
          </w:p>
        </w:tc>
      </w:tr>
      <w:tr w14:paraId="3A48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49E4FC7F">
            <w:pPr>
              <w:widowControl/>
              <w:spacing w:line="264" w:lineRule="auto"/>
              <w:jc w:val="left"/>
              <w:rPr>
                <w:rFonts w:ascii="宋体" w:hAnsi="宋体" w:cs="宋体"/>
                <w:color w:val="000000"/>
                <w:kern w:val="0"/>
                <w:sz w:val="21"/>
                <w:szCs w:val="21"/>
              </w:rPr>
            </w:pPr>
          </w:p>
        </w:tc>
        <w:tc>
          <w:tcPr>
            <w:tcW w:w="1418" w:type="pct"/>
            <w:noWrap w:val="0"/>
            <w:vAlign w:val="center"/>
          </w:tcPr>
          <w:p w14:paraId="62D1FE81">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总体率的置信区间</w:t>
            </w:r>
          </w:p>
        </w:tc>
        <w:tc>
          <w:tcPr>
            <w:tcW w:w="2509" w:type="pct"/>
            <w:noWrap w:val="0"/>
            <w:vAlign w:val="center"/>
          </w:tcPr>
          <w:p w14:paraId="2FAF303D">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总体率的置信区间</w:t>
            </w:r>
          </w:p>
        </w:tc>
      </w:tr>
      <w:tr w14:paraId="4FED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15D911BA">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791C9BBB">
            <w:pPr>
              <w:widowControl/>
              <w:spacing w:line="264" w:lineRule="auto"/>
              <w:rPr>
                <w:rFonts w:ascii="宋体" w:hAnsi="宋体"/>
                <w:color w:val="000000"/>
                <w:kern w:val="0"/>
                <w:sz w:val="21"/>
                <w:szCs w:val="21"/>
              </w:rPr>
            </w:pPr>
            <w:r>
              <w:rPr>
                <w:rFonts w:ascii="宋体" w:hAnsi="宋体"/>
                <w:color w:val="000000"/>
                <w:kern w:val="0"/>
                <w:sz w:val="21"/>
                <w:szCs w:val="21"/>
              </w:rPr>
              <w:t>3.</w:t>
            </w:r>
            <w:r>
              <w:rPr>
                <w:rFonts w:hint="eastAsia" w:ascii="宋体" w:hAnsi="宋体"/>
                <w:color w:val="000000"/>
                <w:kern w:val="0"/>
                <w:sz w:val="21"/>
                <w:szCs w:val="21"/>
              </w:rPr>
              <w:t>率的</w:t>
            </w:r>
            <w:r>
              <w:rPr>
                <w:rFonts w:ascii="宋体" w:hAnsi="宋体"/>
                <w:color w:val="000000"/>
                <w:kern w:val="0"/>
                <w:sz w:val="21"/>
                <w:szCs w:val="21"/>
              </w:rPr>
              <w:t>Z</w:t>
            </w:r>
            <w:r>
              <w:rPr>
                <w:rFonts w:hint="eastAsia" w:ascii="宋体" w:hAnsi="宋体"/>
                <w:color w:val="000000"/>
                <w:kern w:val="0"/>
                <w:sz w:val="21"/>
                <w:szCs w:val="21"/>
              </w:rPr>
              <w:t>检验</w:t>
            </w:r>
          </w:p>
        </w:tc>
        <w:tc>
          <w:tcPr>
            <w:tcW w:w="2509" w:type="pct"/>
            <w:noWrap w:val="0"/>
            <w:vAlign w:val="center"/>
          </w:tcPr>
          <w:p w14:paraId="0660DFFB">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）样本率与总体率的比较</w:t>
            </w:r>
          </w:p>
        </w:tc>
      </w:tr>
      <w:tr w14:paraId="432A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1CBD1FB">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54D86852">
            <w:pPr>
              <w:widowControl/>
              <w:spacing w:line="264" w:lineRule="auto"/>
              <w:jc w:val="left"/>
              <w:rPr>
                <w:rFonts w:ascii="宋体" w:hAnsi="宋体"/>
                <w:color w:val="000000"/>
                <w:kern w:val="0"/>
                <w:sz w:val="21"/>
                <w:szCs w:val="21"/>
              </w:rPr>
            </w:pPr>
          </w:p>
        </w:tc>
        <w:tc>
          <w:tcPr>
            <w:tcW w:w="2509" w:type="pct"/>
            <w:noWrap w:val="0"/>
            <w:vAlign w:val="center"/>
          </w:tcPr>
          <w:p w14:paraId="4AA6972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）两个样本率的比较</w:t>
            </w:r>
          </w:p>
        </w:tc>
      </w:tr>
      <w:tr w14:paraId="6ED7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19EF725B">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七、</w:t>
            </w:r>
            <w:r>
              <w:rPr>
                <w:rFonts w:ascii="宋体" w:hAnsi="宋体"/>
                <w:color w:val="000000"/>
                <w:kern w:val="0"/>
                <w:sz w:val="21"/>
                <w:szCs w:val="21"/>
              </w:rPr>
              <w:t>χ</w:t>
            </w:r>
            <w:r>
              <w:rPr>
                <w:rFonts w:ascii="宋体" w:hAnsi="宋体"/>
                <w:color w:val="000000"/>
                <w:kern w:val="0"/>
                <w:sz w:val="21"/>
                <w:szCs w:val="21"/>
                <w:vertAlign w:val="superscript"/>
              </w:rPr>
              <w:t>2</w:t>
            </w:r>
            <w:r>
              <w:rPr>
                <w:rFonts w:hint="eastAsia" w:ascii="宋体" w:hAnsi="宋体" w:cs="宋体"/>
                <w:color w:val="000000"/>
                <w:kern w:val="0"/>
                <w:sz w:val="21"/>
                <w:szCs w:val="21"/>
              </w:rPr>
              <w:t>检验</w:t>
            </w:r>
          </w:p>
        </w:tc>
        <w:tc>
          <w:tcPr>
            <w:tcW w:w="1418" w:type="pct"/>
            <w:vMerge w:val="restart"/>
            <w:noWrap w:val="0"/>
            <w:vAlign w:val="center"/>
          </w:tcPr>
          <w:p w14:paraId="0633CB77">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四格表资料</w:t>
            </w:r>
          </w:p>
        </w:tc>
        <w:tc>
          <w:tcPr>
            <w:tcW w:w="2509" w:type="pct"/>
            <w:noWrap w:val="0"/>
            <w:vAlign w:val="center"/>
          </w:tcPr>
          <w:p w14:paraId="015F571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）成组设计四格表资料</w:t>
            </w:r>
            <w:r>
              <w:rPr>
                <w:rFonts w:ascii="宋体" w:hAnsi="宋体"/>
                <w:color w:val="000000"/>
                <w:kern w:val="0"/>
                <w:sz w:val="21"/>
                <w:szCs w:val="21"/>
              </w:rPr>
              <w:t>χ</w:t>
            </w:r>
            <w:r>
              <w:rPr>
                <w:rFonts w:ascii="宋体" w:hAnsi="宋体"/>
                <w:color w:val="000000"/>
                <w:kern w:val="0"/>
                <w:sz w:val="21"/>
                <w:szCs w:val="21"/>
                <w:vertAlign w:val="superscript"/>
              </w:rPr>
              <w:t>2</w:t>
            </w:r>
            <w:r>
              <w:rPr>
                <w:rFonts w:hint="eastAsia" w:ascii="宋体" w:hAnsi="宋体" w:cs="宋体"/>
                <w:color w:val="000000"/>
                <w:kern w:val="0"/>
                <w:sz w:val="21"/>
                <w:szCs w:val="21"/>
              </w:rPr>
              <w:t>检验的计算及应用条件</w:t>
            </w:r>
          </w:p>
        </w:tc>
      </w:tr>
      <w:tr w14:paraId="4210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FA05256">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4DF5744E">
            <w:pPr>
              <w:widowControl/>
              <w:spacing w:line="264" w:lineRule="auto"/>
              <w:jc w:val="left"/>
              <w:rPr>
                <w:rFonts w:ascii="宋体" w:hAnsi="宋体"/>
                <w:color w:val="000000"/>
                <w:kern w:val="0"/>
                <w:sz w:val="21"/>
                <w:szCs w:val="21"/>
              </w:rPr>
            </w:pPr>
          </w:p>
        </w:tc>
        <w:tc>
          <w:tcPr>
            <w:tcW w:w="2509" w:type="pct"/>
            <w:noWrap w:val="0"/>
            <w:vAlign w:val="center"/>
          </w:tcPr>
          <w:p w14:paraId="0F9DC31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）配对设计四格表资料</w:t>
            </w:r>
            <w:r>
              <w:rPr>
                <w:rFonts w:ascii="宋体" w:hAnsi="宋体"/>
                <w:color w:val="000000"/>
                <w:kern w:val="0"/>
                <w:sz w:val="21"/>
                <w:szCs w:val="21"/>
              </w:rPr>
              <w:t>χ</w:t>
            </w:r>
            <w:r>
              <w:rPr>
                <w:rFonts w:ascii="宋体" w:hAnsi="宋体"/>
                <w:color w:val="000000"/>
                <w:kern w:val="0"/>
                <w:sz w:val="21"/>
                <w:szCs w:val="21"/>
                <w:vertAlign w:val="superscript"/>
              </w:rPr>
              <w:t>2</w:t>
            </w:r>
            <w:r>
              <w:rPr>
                <w:rFonts w:hint="eastAsia" w:ascii="宋体" w:hAnsi="宋体" w:cs="宋体"/>
                <w:color w:val="000000"/>
                <w:kern w:val="0"/>
                <w:sz w:val="21"/>
                <w:szCs w:val="21"/>
              </w:rPr>
              <w:t>检验及应用条件</w:t>
            </w:r>
          </w:p>
        </w:tc>
      </w:tr>
      <w:tr w14:paraId="01BD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42ADFFF3">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5F05833D">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行</w:t>
            </w:r>
            <w:r>
              <w:rPr>
                <w:rFonts w:ascii="宋体" w:hAnsi="宋体"/>
                <w:color w:val="000000"/>
                <w:kern w:val="0"/>
                <w:sz w:val="21"/>
                <w:szCs w:val="21"/>
              </w:rPr>
              <w:t>×</w:t>
            </w:r>
            <w:r>
              <w:rPr>
                <w:rFonts w:hint="eastAsia" w:ascii="宋体" w:hAnsi="宋体"/>
                <w:color w:val="000000"/>
                <w:kern w:val="0"/>
                <w:sz w:val="21"/>
                <w:szCs w:val="21"/>
              </w:rPr>
              <w:t>列表资料</w:t>
            </w:r>
          </w:p>
        </w:tc>
        <w:tc>
          <w:tcPr>
            <w:tcW w:w="2509" w:type="pct"/>
            <w:noWrap w:val="0"/>
            <w:vAlign w:val="center"/>
          </w:tcPr>
          <w:p w14:paraId="5ED81EDD">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）行</w:t>
            </w:r>
            <w:r>
              <w:rPr>
                <w:rFonts w:ascii="宋体" w:hAnsi="宋体"/>
                <w:color w:val="000000"/>
                <w:kern w:val="0"/>
                <w:sz w:val="21"/>
                <w:szCs w:val="21"/>
              </w:rPr>
              <w:t>×</w:t>
            </w:r>
            <w:r>
              <w:rPr>
                <w:rFonts w:hint="eastAsia" w:ascii="宋体" w:hAnsi="宋体" w:cs="宋体"/>
                <w:color w:val="000000"/>
                <w:kern w:val="0"/>
                <w:sz w:val="21"/>
                <w:szCs w:val="21"/>
              </w:rPr>
              <w:t>列表资料的</w:t>
            </w:r>
            <w:r>
              <w:rPr>
                <w:rFonts w:ascii="宋体" w:hAnsi="宋体"/>
                <w:color w:val="000000"/>
                <w:kern w:val="0"/>
                <w:sz w:val="21"/>
                <w:szCs w:val="21"/>
              </w:rPr>
              <w:t>χ</w:t>
            </w:r>
            <w:r>
              <w:rPr>
                <w:rFonts w:ascii="宋体" w:hAnsi="宋体"/>
                <w:color w:val="000000"/>
                <w:kern w:val="0"/>
                <w:sz w:val="21"/>
                <w:szCs w:val="21"/>
                <w:vertAlign w:val="superscript"/>
              </w:rPr>
              <w:t>2</w:t>
            </w:r>
            <w:r>
              <w:rPr>
                <w:rFonts w:hint="eastAsia" w:ascii="宋体" w:hAnsi="宋体" w:cs="宋体"/>
                <w:color w:val="000000"/>
                <w:kern w:val="0"/>
                <w:sz w:val="21"/>
                <w:szCs w:val="21"/>
              </w:rPr>
              <w:t>检验</w:t>
            </w:r>
          </w:p>
        </w:tc>
      </w:tr>
      <w:tr w14:paraId="0436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F67689A">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4922C52E">
            <w:pPr>
              <w:widowControl/>
              <w:spacing w:line="264" w:lineRule="auto"/>
              <w:jc w:val="left"/>
              <w:rPr>
                <w:rFonts w:ascii="宋体" w:hAnsi="宋体"/>
                <w:color w:val="000000"/>
                <w:kern w:val="0"/>
                <w:sz w:val="21"/>
                <w:szCs w:val="21"/>
              </w:rPr>
            </w:pPr>
          </w:p>
        </w:tc>
        <w:tc>
          <w:tcPr>
            <w:tcW w:w="2509" w:type="pct"/>
            <w:noWrap w:val="0"/>
            <w:vAlign w:val="center"/>
          </w:tcPr>
          <w:p w14:paraId="1604388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）行</w:t>
            </w:r>
            <w:r>
              <w:rPr>
                <w:rFonts w:ascii="宋体" w:hAnsi="宋体"/>
                <w:color w:val="000000"/>
                <w:kern w:val="0"/>
                <w:sz w:val="21"/>
                <w:szCs w:val="21"/>
              </w:rPr>
              <w:t>×</w:t>
            </w:r>
            <w:r>
              <w:rPr>
                <w:rFonts w:hint="eastAsia" w:ascii="宋体" w:hAnsi="宋体" w:cs="宋体"/>
                <w:color w:val="000000"/>
                <w:kern w:val="0"/>
                <w:sz w:val="21"/>
                <w:szCs w:val="21"/>
              </w:rPr>
              <w:t>列表资料</w:t>
            </w:r>
            <w:r>
              <w:rPr>
                <w:rFonts w:ascii="宋体" w:hAnsi="宋体"/>
                <w:color w:val="000000"/>
                <w:kern w:val="0"/>
                <w:sz w:val="21"/>
                <w:szCs w:val="21"/>
              </w:rPr>
              <w:t>χ</w:t>
            </w:r>
            <w:r>
              <w:rPr>
                <w:rFonts w:ascii="宋体" w:hAnsi="宋体"/>
                <w:color w:val="000000"/>
                <w:kern w:val="0"/>
                <w:sz w:val="21"/>
                <w:szCs w:val="21"/>
                <w:vertAlign w:val="superscript"/>
              </w:rPr>
              <w:t>2</w:t>
            </w:r>
            <w:r>
              <w:rPr>
                <w:rFonts w:hint="eastAsia" w:ascii="宋体" w:hAnsi="宋体" w:cs="宋体"/>
                <w:color w:val="000000"/>
                <w:kern w:val="0"/>
                <w:sz w:val="21"/>
                <w:szCs w:val="21"/>
              </w:rPr>
              <w:t>检验应注意的问题</w:t>
            </w:r>
          </w:p>
        </w:tc>
      </w:tr>
      <w:tr w14:paraId="3AD8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46B5B785">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八、秩和检验</w:t>
            </w:r>
          </w:p>
        </w:tc>
        <w:tc>
          <w:tcPr>
            <w:tcW w:w="1418" w:type="pct"/>
            <w:noWrap w:val="0"/>
            <w:vAlign w:val="center"/>
          </w:tcPr>
          <w:p w14:paraId="7EFDB337">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非参数检验</w:t>
            </w:r>
          </w:p>
        </w:tc>
        <w:tc>
          <w:tcPr>
            <w:tcW w:w="2509" w:type="pct"/>
            <w:noWrap w:val="0"/>
            <w:vAlign w:val="center"/>
          </w:tcPr>
          <w:p w14:paraId="0C9EF564">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非参数检验</w:t>
            </w:r>
          </w:p>
        </w:tc>
      </w:tr>
      <w:tr w14:paraId="56BC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25F85177">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487884F9">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秩和检验</w:t>
            </w:r>
          </w:p>
        </w:tc>
        <w:tc>
          <w:tcPr>
            <w:tcW w:w="2509" w:type="pct"/>
            <w:noWrap w:val="0"/>
            <w:vAlign w:val="center"/>
          </w:tcPr>
          <w:p w14:paraId="4F65D0F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）配对设计差值的符号秩和检验</w:t>
            </w:r>
          </w:p>
        </w:tc>
      </w:tr>
      <w:tr w14:paraId="458A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4B2E04FB">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02435720">
            <w:pPr>
              <w:widowControl/>
              <w:spacing w:line="264" w:lineRule="auto"/>
              <w:jc w:val="left"/>
              <w:rPr>
                <w:rFonts w:ascii="宋体" w:hAnsi="宋体"/>
                <w:color w:val="000000"/>
                <w:kern w:val="0"/>
                <w:sz w:val="21"/>
                <w:szCs w:val="21"/>
              </w:rPr>
            </w:pPr>
          </w:p>
        </w:tc>
        <w:tc>
          <w:tcPr>
            <w:tcW w:w="2509" w:type="pct"/>
            <w:noWrap w:val="0"/>
            <w:vAlign w:val="center"/>
          </w:tcPr>
          <w:p w14:paraId="4F773680">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）成组设计两样本比较的秩和检验</w:t>
            </w:r>
          </w:p>
        </w:tc>
      </w:tr>
      <w:tr w14:paraId="6723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4A3FFA0B">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788261B1">
            <w:pPr>
              <w:widowControl/>
              <w:spacing w:line="264" w:lineRule="auto"/>
              <w:jc w:val="left"/>
              <w:rPr>
                <w:rFonts w:ascii="宋体" w:hAnsi="宋体"/>
                <w:color w:val="000000"/>
                <w:kern w:val="0"/>
                <w:sz w:val="21"/>
                <w:szCs w:val="21"/>
              </w:rPr>
            </w:pPr>
          </w:p>
        </w:tc>
        <w:tc>
          <w:tcPr>
            <w:tcW w:w="2509" w:type="pct"/>
            <w:noWrap w:val="0"/>
            <w:vAlign w:val="center"/>
          </w:tcPr>
          <w:p w14:paraId="28012AF7">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）成组设计多个样本比较的秩和检验</w:t>
            </w:r>
          </w:p>
        </w:tc>
      </w:tr>
      <w:tr w14:paraId="0C8C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08CFEEB6">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九、直线回归与相关</w:t>
            </w:r>
          </w:p>
        </w:tc>
        <w:tc>
          <w:tcPr>
            <w:tcW w:w="1418" w:type="pct"/>
            <w:vMerge w:val="restart"/>
            <w:noWrap w:val="0"/>
            <w:vAlign w:val="center"/>
          </w:tcPr>
          <w:p w14:paraId="3D8AC646">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直线回归</w:t>
            </w:r>
          </w:p>
        </w:tc>
        <w:tc>
          <w:tcPr>
            <w:tcW w:w="2509" w:type="pct"/>
            <w:noWrap w:val="0"/>
            <w:vAlign w:val="center"/>
          </w:tcPr>
          <w:p w14:paraId="1362F7A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）直线回归方程的建立</w:t>
            </w:r>
          </w:p>
        </w:tc>
      </w:tr>
      <w:tr w14:paraId="2BAA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9AA275E">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7C5342F2">
            <w:pPr>
              <w:widowControl/>
              <w:spacing w:line="264" w:lineRule="auto"/>
              <w:jc w:val="left"/>
              <w:rPr>
                <w:rFonts w:ascii="宋体" w:hAnsi="宋体"/>
                <w:color w:val="000000"/>
                <w:kern w:val="0"/>
                <w:sz w:val="21"/>
                <w:szCs w:val="21"/>
              </w:rPr>
            </w:pPr>
          </w:p>
        </w:tc>
        <w:tc>
          <w:tcPr>
            <w:tcW w:w="2509" w:type="pct"/>
            <w:noWrap w:val="0"/>
            <w:vAlign w:val="center"/>
          </w:tcPr>
          <w:p w14:paraId="15563045">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）直线回归系数的含义及其假设检验</w:t>
            </w:r>
          </w:p>
        </w:tc>
      </w:tr>
      <w:tr w14:paraId="22FD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CC0E983">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36BA7021">
            <w:pPr>
              <w:widowControl/>
              <w:spacing w:line="264" w:lineRule="auto"/>
              <w:jc w:val="left"/>
              <w:rPr>
                <w:rFonts w:ascii="宋体" w:hAnsi="宋体"/>
                <w:color w:val="000000"/>
                <w:kern w:val="0"/>
                <w:sz w:val="21"/>
                <w:szCs w:val="21"/>
              </w:rPr>
            </w:pPr>
          </w:p>
        </w:tc>
        <w:tc>
          <w:tcPr>
            <w:tcW w:w="2509" w:type="pct"/>
            <w:noWrap w:val="0"/>
            <w:vAlign w:val="center"/>
          </w:tcPr>
          <w:p w14:paraId="562739C2">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）直线回归的应用及应注意的问题</w:t>
            </w:r>
          </w:p>
        </w:tc>
      </w:tr>
      <w:tr w14:paraId="0196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2E555A87">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172103A7">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直线相关</w:t>
            </w:r>
          </w:p>
        </w:tc>
        <w:tc>
          <w:tcPr>
            <w:tcW w:w="2509" w:type="pct"/>
            <w:noWrap w:val="0"/>
            <w:vAlign w:val="center"/>
          </w:tcPr>
          <w:p w14:paraId="7CF88EBA">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）直线相关系数的含义与计算</w:t>
            </w:r>
          </w:p>
        </w:tc>
      </w:tr>
      <w:tr w14:paraId="52B3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52214859">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2EC8B422">
            <w:pPr>
              <w:widowControl/>
              <w:spacing w:line="264" w:lineRule="auto"/>
              <w:jc w:val="left"/>
              <w:rPr>
                <w:rFonts w:ascii="宋体" w:hAnsi="宋体"/>
                <w:color w:val="000000"/>
                <w:kern w:val="0"/>
                <w:sz w:val="21"/>
                <w:szCs w:val="21"/>
              </w:rPr>
            </w:pPr>
          </w:p>
        </w:tc>
        <w:tc>
          <w:tcPr>
            <w:tcW w:w="2509" w:type="pct"/>
            <w:noWrap w:val="0"/>
            <w:vAlign w:val="center"/>
          </w:tcPr>
          <w:p w14:paraId="5F256F2A">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）直线相关系数的假设检验</w:t>
            </w:r>
          </w:p>
        </w:tc>
      </w:tr>
      <w:tr w14:paraId="6BC0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2912FFF3">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493E8262">
            <w:pPr>
              <w:widowControl/>
              <w:spacing w:line="264" w:lineRule="auto"/>
              <w:jc w:val="left"/>
              <w:rPr>
                <w:rFonts w:ascii="宋体" w:hAnsi="宋体"/>
                <w:color w:val="000000"/>
                <w:kern w:val="0"/>
                <w:sz w:val="21"/>
                <w:szCs w:val="21"/>
              </w:rPr>
            </w:pPr>
          </w:p>
        </w:tc>
        <w:tc>
          <w:tcPr>
            <w:tcW w:w="2509" w:type="pct"/>
            <w:noWrap w:val="0"/>
            <w:vAlign w:val="center"/>
          </w:tcPr>
          <w:p w14:paraId="7EC69C78">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）直线回归与相关的区别和联系</w:t>
            </w:r>
          </w:p>
        </w:tc>
      </w:tr>
      <w:tr w14:paraId="3965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2FCE1E9">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0FE6CA49">
            <w:pPr>
              <w:widowControl/>
              <w:spacing w:line="264" w:lineRule="auto"/>
              <w:rPr>
                <w:rFonts w:ascii="宋体" w:hAnsi="宋体"/>
                <w:color w:val="000000"/>
                <w:kern w:val="0"/>
                <w:sz w:val="21"/>
                <w:szCs w:val="21"/>
              </w:rPr>
            </w:pPr>
            <w:r>
              <w:rPr>
                <w:rFonts w:ascii="宋体" w:hAnsi="宋体"/>
                <w:color w:val="000000"/>
                <w:kern w:val="0"/>
                <w:sz w:val="21"/>
                <w:szCs w:val="21"/>
              </w:rPr>
              <w:t>3.</w:t>
            </w:r>
            <w:r>
              <w:rPr>
                <w:rFonts w:hint="eastAsia" w:ascii="宋体" w:hAnsi="宋体"/>
                <w:color w:val="000000"/>
                <w:kern w:val="0"/>
                <w:sz w:val="21"/>
                <w:szCs w:val="21"/>
              </w:rPr>
              <w:t>等级相关</w:t>
            </w:r>
          </w:p>
        </w:tc>
        <w:tc>
          <w:tcPr>
            <w:tcW w:w="2509" w:type="pct"/>
            <w:noWrap w:val="0"/>
            <w:vAlign w:val="center"/>
          </w:tcPr>
          <w:p w14:paraId="7AFB9138">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）等级相关的适用范围</w:t>
            </w:r>
          </w:p>
        </w:tc>
      </w:tr>
      <w:tr w14:paraId="02EB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C06D755">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40F4B33B">
            <w:pPr>
              <w:widowControl/>
              <w:spacing w:line="264" w:lineRule="auto"/>
              <w:jc w:val="left"/>
              <w:rPr>
                <w:rFonts w:ascii="宋体" w:hAnsi="宋体"/>
                <w:color w:val="000000"/>
                <w:kern w:val="0"/>
                <w:sz w:val="21"/>
                <w:szCs w:val="21"/>
              </w:rPr>
            </w:pPr>
          </w:p>
        </w:tc>
        <w:tc>
          <w:tcPr>
            <w:tcW w:w="2509" w:type="pct"/>
            <w:noWrap w:val="0"/>
            <w:vAlign w:val="center"/>
          </w:tcPr>
          <w:p w14:paraId="6526DD1A">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）等级相关系数的假设检验</w:t>
            </w:r>
          </w:p>
        </w:tc>
      </w:tr>
      <w:tr w14:paraId="0C52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030E5758">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十、统计表和统计图</w:t>
            </w:r>
          </w:p>
        </w:tc>
        <w:tc>
          <w:tcPr>
            <w:tcW w:w="1418" w:type="pct"/>
            <w:noWrap w:val="0"/>
            <w:vAlign w:val="center"/>
          </w:tcPr>
          <w:p w14:paraId="255D094A">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统计表</w:t>
            </w:r>
          </w:p>
        </w:tc>
        <w:tc>
          <w:tcPr>
            <w:tcW w:w="2509" w:type="pct"/>
            <w:noWrap w:val="0"/>
            <w:vAlign w:val="center"/>
          </w:tcPr>
          <w:p w14:paraId="3035F8F2">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制表的基本原则及其注意事项</w:t>
            </w:r>
          </w:p>
        </w:tc>
      </w:tr>
      <w:tr w14:paraId="789D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6C364819">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5DBC4DA6">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统计图</w:t>
            </w:r>
          </w:p>
        </w:tc>
        <w:tc>
          <w:tcPr>
            <w:tcW w:w="2509" w:type="pct"/>
            <w:noWrap w:val="0"/>
            <w:vAlign w:val="center"/>
          </w:tcPr>
          <w:p w14:paraId="26209A2A">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）制图的基本要求及其注意事项</w:t>
            </w:r>
          </w:p>
        </w:tc>
      </w:tr>
      <w:tr w14:paraId="0F58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4B46EEEB">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2EA509C6">
            <w:pPr>
              <w:widowControl/>
              <w:spacing w:line="264" w:lineRule="auto"/>
              <w:jc w:val="left"/>
              <w:rPr>
                <w:rFonts w:ascii="宋体" w:hAnsi="宋体"/>
                <w:color w:val="000000"/>
                <w:kern w:val="0"/>
                <w:sz w:val="21"/>
                <w:szCs w:val="21"/>
              </w:rPr>
            </w:pPr>
          </w:p>
        </w:tc>
        <w:tc>
          <w:tcPr>
            <w:tcW w:w="2509" w:type="pct"/>
            <w:noWrap w:val="0"/>
            <w:vAlign w:val="center"/>
          </w:tcPr>
          <w:p w14:paraId="366891E6">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）统计图的正确选择</w:t>
            </w:r>
          </w:p>
        </w:tc>
      </w:tr>
      <w:tr w14:paraId="0FCB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1995233F">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十一、统计设计</w:t>
            </w:r>
          </w:p>
        </w:tc>
        <w:tc>
          <w:tcPr>
            <w:tcW w:w="1418" w:type="pct"/>
            <w:vMerge w:val="restart"/>
            <w:noWrap w:val="0"/>
            <w:vAlign w:val="center"/>
          </w:tcPr>
          <w:p w14:paraId="778E92B7">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两种研究类型的特点</w:t>
            </w:r>
          </w:p>
        </w:tc>
        <w:tc>
          <w:tcPr>
            <w:tcW w:w="2509" w:type="pct"/>
            <w:noWrap w:val="0"/>
            <w:vAlign w:val="center"/>
          </w:tcPr>
          <w:p w14:paraId="398E5557">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）调查研究的特点</w:t>
            </w:r>
          </w:p>
        </w:tc>
      </w:tr>
      <w:tr w14:paraId="3C27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44AD4C26">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0253B1AE">
            <w:pPr>
              <w:widowControl/>
              <w:spacing w:line="264" w:lineRule="auto"/>
              <w:jc w:val="left"/>
              <w:rPr>
                <w:rFonts w:ascii="宋体" w:hAnsi="宋体"/>
                <w:color w:val="000000"/>
                <w:kern w:val="0"/>
                <w:sz w:val="21"/>
                <w:szCs w:val="21"/>
              </w:rPr>
            </w:pPr>
          </w:p>
        </w:tc>
        <w:tc>
          <w:tcPr>
            <w:tcW w:w="2509" w:type="pct"/>
            <w:noWrap w:val="0"/>
            <w:vAlign w:val="center"/>
          </w:tcPr>
          <w:p w14:paraId="79AABF12">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）实验研究的特点</w:t>
            </w:r>
          </w:p>
        </w:tc>
      </w:tr>
      <w:tr w14:paraId="3851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5C0C8F6">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19653B85">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调查设计</w:t>
            </w:r>
          </w:p>
        </w:tc>
        <w:tc>
          <w:tcPr>
            <w:tcW w:w="2509" w:type="pct"/>
            <w:noWrap w:val="0"/>
            <w:vAlign w:val="center"/>
          </w:tcPr>
          <w:p w14:paraId="3B9DCEF6">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）调查设计的基本内容</w:t>
            </w:r>
          </w:p>
        </w:tc>
      </w:tr>
      <w:tr w14:paraId="2523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F17A5B1">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5D8B9233">
            <w:pPr>
              <w:widowControl/>
              <w:spacing w:line="264" w:lineRule="auto"/>
              <w:jc w:val="left"/>
              <w:rPr>
                <w:rFonts w:ascii="宋体" w:hAnsi="宋体"/>
                <w:color w:val="000000"/>
                <w:kern w:val="0"/>
                <w:sz w:val="21"/>
                <w:szCs w:val="21"/>
              </w:rPr>
            </w:pPr>
          </w:p>
        </w:tc>
        <w:tc>
          <w:tcPr>
            <w:tcW w:w="2509" w:type="pct"/>
            <w:noWrap w:val="0"/>
            <w:vAlign w:val="center"/>
          </w:tcPr>
          <w:p w14:paraId="7AFFF853">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）四种基本的抽样方法</w:t>
            </w:r>
          </w:p>
        </w:tc>
      </w:tr>
      <w:tr w14:paraId="279B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0FC42415">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55AC762C">
            <w:pPr>
              <w:widowControl/>
              <w:spacing w:line="264" w:lineRule="auto"/>
              <w:rPr>
                <w:rFonts w:ascii="宋体" w:hAnsi="宋体"/>
                <w:color w:val="000000"/>
                <w:kern w:val="0"/>
                <w:sz w:val="21"/>
                <w:szCs w:val="21"/>
              </w:rPr>
            </w:pPr>
            <w:r>
              <w:rPr>
                <w:rFonts w:ascii="宋体" w:hAnsi="宋体"/>
                <w:color w:val="000000"/>
                <w:kern w:val="0"/>
                <w:sz w:val="21"/>
                <w:szCs w:val="21"/>
              </w:rPr>
              <w:t>3.</w:t>
            </w:r>
            <w:r>
              <w:rPr>
                <w:rFonts w:hint="eastAsia" w:ascii="宋体" w:hAnsi="宋体"/>
                <w:color w:val="000000"/>
                <w:kern w:val="0"/>
                <w:sz w:val="21"/>
                <w:szCs w:val="21"/>
              </w:rPr>
              <w:t>实验设计</w:t>
            </w:r>
          </w:p>
        </w:tc>
        <w:tc>
          <w:tcPr>
            <w:tcW w:w="2509" w:type="pct"/>
            <w:noWrap w:val="0"/>
            <w:vAlign w:val="center"/>
          </w:tcPr>
          <w:p w14:paraId="07D2C70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）实验设计的基本原则</w:t>
            </w:r>
          </w:p>
        </w:tc>
      </w:tr>
      <w:tr w14:paraId="4C91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22421E08">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5554BAFE">
            <w:pPr>
              <w:widowControl/>
              <w:spacing w:line="264" w:lineRule="auto"/>
              <w:jc w:val="left"/>
              <w:rPr>
                <w:rFonts w:ascii="宋体" w:hAnsi="宋体"/>
                <w:color w:val="000000"/>
                <w:kern w:val="0"/>
                <w:sz w:val="21"/>
                <w:szCs w:val="21"/>
              </w:rPr>
            </w:pPr>
          </w:p>
        </w:tc>
        <w:tc>
          <w:tcPr>
            <w:tcW w:w="2509" w:type="pct"/>
            <w:noWrap w:val="0"/>
            <w:vAlign w:val="center"/>
          </w:tcPr>
          <w:p w14:paraId="075E8CEF">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）实验设计的基本要素</w:t>
            </w:r>
          </w:p>
        </w:tc>
      </w:tr>
      <w:tr w14:paraId="3400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2E241765">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0BC079EE">
            <w:pPr>
              <w:widowControl/>
              <w:spacing w:line="264" w:lineRule="auto"/>
              <w:jc w:val="left"/>
              <w:rPr>
                <w:rFonts w:ascii="宋体" w:hAnsi="宋体"/>
                <w:color w:val="000000"/>
                <w:kern w:val="0"/>
                <w:sz w:val="21"/>
                <w:szCs w:val="21"/>
              </w:rPr>
            </w:pPr>
          </w:p>
        </w:tc>
        <w:tc>
          <w:tcPr>
            <w:tcW w:w="2509" w:type="pct"/>
            <w:noWrap w:val="0"/>
            <w:vAlign w:val="center"/>
          </w:tcPr>
          <w:p w14:paraId="1F02F97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）常用的几种实验设计方法</w:t>
            </w:r>
          </w:p>
        </w:tc>
      </w:tr>
      <w:tr w14:paraId="55A2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4B0F45A">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755A1A80">
            <w:pPr>
              <w:widowControl/>
              <w:spacing w:line="264" w:lineRule="auto"/>
              <w:rPr>
                <w:rFonts w:ascii="宋体" w:hAnsi="宋体"/>
                <w:color w:val="000000"/>
                <w:kern w:val="0"/>
                <w:sz w:val="21"/>
                <w:szCs w:val="21"/>
              </w:rPr>
            </w:pPr>
            <w:r>
              <w:rPr>
                <w:rFonts w:ascii="宋体" w:hAnsi="宋体"/>
                <w:color w:val="000000"/>
                <w:kern w:val="0"/>
                <w:sz w:val="21"/>
                <w:szCs w:val="21"/>
              </w:rPr>
              <w:t>4.</w:t>
            </w:r>
            <w:r>
              <w:rPr>
                <w:rFonts w:hint="eastAsia" w:ascii="宋体" w:hAnsi="宋体"/>
                <w:color w:val="000000"/>
                <w:kern w:val="0"/>
                <w:sz w:val="21"/>
                <w:szCs w:val="21"/>
              </w:rPr>
              <w:t>样本含量的估计</w:t>
            </w:r>
          </w:p>
        </w:tc>
        <w:tc>
          <w:tcPr>
            <w:tcW w:w="2509" w:type="pct"/>
            <w:noWrap w:val="0"/>
            <w:vAlign w:val="center"/>
          </w:tcPr>
          <w:p w14:paraId="2D3CFA57">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）样本含量估计的意义</w:t>
            </w:r>
          </w:p>
        </w:tc>
      </w:tr>
      <w:tr w14:paraId="51F3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1D6DFA50">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220769FF">
            <w:pPr>
              <w:widowControl/>
              <w:spacing w:line="264" w:lineRule="auto"/>
              <w:jc w:val="left"/>
              <w:rPr>
                <w:rFonts w:ascii="宋体" w:hAnsi="宋体"/>
                <w:color w:val="000000"/>
                <w:kern w:val="0"/>
                <w:sz w:val="21"/>
                <w:szCs w:val="21"/>
              </w:rPr>
            </w:pPr>
          </w:p>
        </w:tc>
        <w:tc>
          <w:tcPr>
            <w:tcW w:w="2509" w:type="pct"/>
            <w:noWrap w:val="0"/>
            <w:vAlign w:val="center"/>
          </w:tcPr>
          <w:p w14:paraId="521A3433">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）样本含量估计应具备的条件</w:t>
            </w:r>
          </w:p>
        </w:tc>
      </w:tr>
      <w:tr w14:paraId="6C7D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77F7D5F2">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22F84870">
            <w:pPr>
              <w:widowControl/>
              <w:spacing w:line="264" w:lineRule="auto"/>
              <w:jc w:val="left"/>
              <w:rPr>
                <w:rFonts w:ascii="宋体" w:hAnsi="宋体"/>
                <w:color w:val="000000"/>
                <w:kern w:val="0"/>
                <w:sz w:val="21"/>
                <w:szCs w:val="21"/>
              </w:rPr>
            </w:pPr>
          </w:p>
        </w:tc>
        <w:tc>
          <w:tcPr>
            <w:tcW w:w="2509" w:type="pct"/>
            <w:noWrap w:val="0"/>
            <w:vAlign w:val="center"/>
          </w:tcPr>
          <w:p w14:paraId="54407F62">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3</w:t>
            </w:r>
            <w:r>
              <w:rPr>
                <w:rFonts w:hint="eastAsia" w:ascii="宋体" w:hAnsi="宋体" w:cs="宋体"/>
                <w:color w:val="000000"/>
                <w:kern w:val="0"/>
                <w:sz w:val="21"/>
                <w:szCs w:val="21"/>
              </w:rPr>
              <w:t>）常用样本含量估计的方法</w:t>
            </w:r>
          </w:p>
        </w:tc>
      </w:tr>
      <w:tr w14:paraId="2432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63601330">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十二、医学常用人口统计指标</w:t>
            </w:r>
          </w:p>
        </w:tc>
        <w:tc>
          <w:tcPr>
            <w:tcW w:w="1418" w:type="pct"/>
            <w:noWrap w:val="0"/>
            <w:vAlign w:val="center"/>
          </w:tcPr>
          <w:p w14:paraId="0557E6B2">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、人口统计学</w:t>
            </w:r>
          </w:p>
        </w:tc>
        <w:tc>
          <w:tcPr>
            <w:tcW w:w="2509" w:type="pct"/>
            <w:noWrap w:val="0"/>
            <w:vAlign w:val="center"/>
          </w:tcPr>
          <w:p w14:paraId="58CD4844">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常用人口统计学指标</w:t>
            </w:r>
          </w:p>
        </w:tc>
      </w:tr>
      <w:tr w14:paraId="0C6F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4F8E79B2">
            <w:pPr>
              <w:widowControl/>
              <w:spacing w:line="264" w:lineRule="auto"/>
              <w:jc w:val="left"/>
              <w:rPr>
                <w:rFonts w:ascii="宋体" w:hAnsi="宋体" w:cs="宋体"/>
                <w:color w:val="000000"/>
                <w:kern w:val="0"/>
                <w:sz w:val="21"/>
                <w:szCs w:val="21"/>
              </w:rPr>
            </w:pPr>
          </w:p>
        </w:tc>
        <w:tc>
          <w:tcPr>
            <w:tcW w:w="1418" w:type="pct"/>
            <w:noWrap w:val="0"/>
            <w:vAlign w:val="center"/>
          </w:tcPr>
          <w:p w14:paraId="62704D8A">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、出生统计学</w:t>
            </w:r>
          </w:p>
        </w:tc>
        <w:tc>
          <w:tcPr>
            <w:tcW w:w="2509" w:type="pct"/>
            <w:noWrap w:val="0"/>
            <w:vAlign w:val="center"/>
          </w:tcPr>
          <w:p w14:paraId="06B8806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常用出生统计学指标</w:t>
            </w:r>
          </w:p>
        </w:tc>
      </w:tr>
      <w:tr w14:paraId="0ED8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3977A3F">
            <w:pPr>
              <w:widowControl/>
              <w:spacing w:line="264" w:lineRule="auto"/>
              <w:jc w:val="left"/>
              <w:rPr>
                <w:rFonts w:ascii="宋体" w:hAnsi="宋体" w:cs="宋体"/>
                <w:color w:val="000000"/>
                <w:kern w:val="0"/>
                <w:sz w:val="21"/>
                <w:szCs w:val="21"/>
              </w:rPr>
            </w:pPr>
          </w:p>
        </w:tc>
        <w:tc>
          <w:tcPr>
            <w:tcW w:w="1418" w:type="pct"/>
            <w:noWrap w:val="0"/>
            <w:vAlign w:val="center"/>
          </w:tcPr>
          <w:p w14:paraId="61525E1F">
            <w:pPr>
              <w:widowControl/>
              <w:spacing w:line="264" w:lineRule="auto"/>
              <w:rPr>
                <w:rFonts w:ascii="宋体" w:hAnsi="宋体"/>
                <w:color w:val="000000"/>
                <w:kern w:val="0"/>
                <w:sz w:val="21"/>
                <w:szCs w:val="21"/>
              </w:rPr>
            </w:pPr>
            <w:r>
              <w:rPr>
                <w:rFonts w:ascii="宋体" w:hAnsi="宋体"/>
                <w:color w:val="000000"/>
                <w:kern w:val="0"/>
                <w:sz w:val="21"/>
                <w:szCs w:val="21"/>
              </w:rPr>
              <w:t>3</w:t>
            </w:r>
            <w:r>
              <w:rPr>
                <w:rFonts w:hint="eastAsia" w:ascii="宋体" w:hAnsi="宋体"/>
                <w:color w:val="000000"/>
                <w:kern w:val="0"/>
                <w:sz w:val="21"/>
                <w:szCs w:val="21"/>
              </w:rPr>
              <w:t>、死亡统计</w:t>
            </w:r>
          </w:p>
        </w:tc>
        <w:tc>
          <w:tcPr>
            <w:tcW w:w="2509" w:type="pct"/>
            <w:noWrap w:val="0"/>
            <w:vAlign w:val="center"/>
          </w:tcPr>
          <w:p w14:paraId="30235CDA">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常用死亡统计学指标</w:t>
            </w:r>
          </w:p>
        </w:tc>
      </w:tr>
      <w:tr w14:paraId="1951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6721A3F0">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十三、寿命表</w:t>
            </w:r>
          </w:p>
        </w:tc>
        <w:tc>
          <w:tcPr>
            <w:tcW w:w="1418" w:type="pct"/>
            <w:noWrap w:val="0"/>
            <w:vAlign w:val="center"/>
          </w:tcPr>
          <w:p w14:paraId="090C76C4">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、寿命表</w:t>
            </w:r>
          </w:p>
        </w:tc>
        <w:tc>
          <w:tcPr>
            <w:tcW w:w="2509" w:type="pct"/>
            <w:noWrap w:val="0"/>
            <w:vAlign w:val="center"/>
          </w:tcPr>
          <w:p w14:paraId="0DF9F198">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简略寿命表的概念</w:t>
            </w:r>
          </w:p>
        </w:tc>
      </w:tr>
      <w:tr w14:paraId="7AB2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061E427">
            <w:pPr>
              <w:widowControl/>
              <w:spacing w:line="264" w:lineRule="auto"/>
              <w:jc w:val="left"/>
              <w:rPr>
                <w:rFonts w:ascii="宋体" w:hAnsi="宋体" w:cs="宋体"/>
                <w:color w:val="000000"/>
                <w:kern w:val="0"/>
                <w:sz w:val="21"/>
                <w:szCs w:val="21"/>
              </w:rPr>
            </w:pPr>
          </w:p>
        </w:tc>
        <w:tc>
          <w:tcPr>
            <w:tcW w:w="1418" w:type="pct"/>
            <w:noWrap w:val="0"/>
            <w:vAlign w:val="center"/>
          </w:tcPr>
          <w:p w14:paraId="16567577">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、寿命表编制的基本原理</w:t>
            </w:r>
          </w:p>
        </w:tc>
        <w:tc>
          <w:tcPr>
            <w:tcW w:w="2509" w:type="pct"/>
            <w:noWrap w:val="0"/>
            <w:vAlign w:val="center"/>
          </w:tcPr>
          <w:p w14:paraId="5FB97BE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）编制简略寿命表的基本原理</w:t>
            </w:r>
          </w:p>
        </w:tc>
      </w:tr>
      <w:tr w14:paraId="3E68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5867E6A">
            <w:pPr>
              <w:widowControl/>
              <w:spacing w:line="264" w:lineRule="auto"/>
              <w:jc w:val="left"/>
              <w:rPr>
                <w:rFonts w:ascii="宋体" w:hAnsi="宋体" w:cs="宋体"/>
                <w:color w:val="000000"/>
                <w:kern w:val="0"/>
                <w:sz w:val="21"/>
                <w:szCs w:val="21"/>
              </w:rPr>
            </w:pPr>
          </w:p>
        </w:tc>
        <w:tc>
          <w:tcPr>
            <w:tcW w:w="1418" w:type="pct"/>
            <w:noWrap w:val="0"/>
            <w:vAlign w:val="center"/>
          </w:tcPr>
          <w:p w14:paraId="67F6AA6C">
            <w:pPr>
              <w:widowControl/>
              <w:spacing w:line="264" w:lineRule="auto"/>
              <w:rPr>
                <w:rFonts w:ascii="宋体" w:hAnsi="宋体"/>
                <w:color w:val="000000"/>
                <w:kern w:val="0"/>
                <w:sz w:val="21"/>
                <w:szCs w:val="21"/>
              </w:rPr>
            </w:pPr>
            <w:r>
              <w:rPr>
                <w:rFonts w:ascii="宋体" w:hAnsi="宋体"/>
                <w:color w:val="000000"/>
                <w:kern w:val="0"/>
                <w:sz w:val="21"/>
                <w:szCs w:val="21"/>
              </w:rPr>
              <w:t>　</w:t>
            </w:r>
          </w:p>
        </w:tc>
        <w:tc>
          <w:tcPr>
            <w:tcW w:w="2509" w:type="pct"/>
            <w:noWrap w:val="0"/>
            <w:vAlign w:val="center"/>
          </w:tcPr>
          <w:p w14:paraId="642AEFD2">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）寿命表中常用的四项指标的意义</w:t>
            </w:r>
          </w:p>
        </w:tc>
      </w:tr>
      <w:tr w14:paraId="765E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6C676E25">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十四、生存分析</w:t>
            </w:r>
          </w:p>
        </w:tc>
        <w:tc>
          <w:tcPr>
            <w:tcW w:w="1418" w:type="pct"/>
            <w:vMerge w:val="restart"/>
            <w:noWrap w:val="0"/>
            <w:vAlign w:val="center"/>
          </w:tcPr>
          <w:p w14:paraId="5A85F50A">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、生存分析的基本概念</w:t>
            </w:r>
          </w:p>
        </w:tc>
        <w:tc>
          <w:tcPr>
            <w:tcW w:w="2509" w:type="pct"/>
            <w:noWrap w:val="0"/>
            <w:vAlign w:val="center"/>
          </w:tcPr>
          <w:p w14:paraId="08DB06A4">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）生存资料的基本特点</w:t>
            </w:r>
          </w:p>
        </w:tc>
      </w:tr>
      <w:tr w14:paraId="0411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09CB7BF">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6EE70B88">
            <w:pPr>
              <w:widowControl/>
              <w:spacing w:line="264" w:lineRule="auto"/>
              <w:jc w:val="left"/>
              <w:rPr>
                <w:rFonts w:ascii="宋体" w:hAnsi="宋体"/>
                <w:color w:val="000000"/>
                <w:kern w:val="0"/>
                <w:sz w:val="21"/>
                <w:szCs w:val="21"/>
              </w:rPr>
            </w:pPr>
          </w:p>
        </w:tc>
        <w:tc>
          <w:tcPr>
            <w:tcW w:w="2509" w:type="pct"/>
            <w:noWrap w:val="0"/>
            <w:vAlign w:val="center"/>
          </w:tcPr>
          <w:p w14:paraId="73E37986">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（终点事件、生存时间、截尾值、生存率）</w:t>
            </w:r>
          </w:p>
        </w:tc>
      </w:tr>
      <w:tr w14:paraId="2625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6FD64DB1">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62C3018B">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、生存率的估计</w:t>
            </w:r>
          </w:p>
        </w:tc>
        <w:tc>
          <w:tcPr>
            <w:tcW w:w="2509" w:type="pct"/>
            <w:noWrap w:val="0"/>
            <w:vAlign w:val="center"/>
          </w:tcPr>
          <w:p w14:paraId="1A4EE7D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w:t>
            </w:r>
            <w:r>
              <w:rPr>
                <w:rFonts w:ascii="宋体" w:hAnsi="宋体"/>
                <w:color w:val="000000"/>
                <w:kern w:val="0"/>
                <w:sz w:val="21"/>
                <w:szCs w:val="21"/>
              </w:rPr>
              <w:t>Kaplan-meier</w:t>
            </w:r>
            <w:r>
              <w:rPr>
                <w:rFonts w:hint="eastAsia" w:ascii="宋体" w:hAnsi="宋体" w:cs="宋体"/>
                <w:color w:val="000000"/>
                <w:kern w:val="0"/>
                <w:sz w:val="21"/>
                <w:szCs w:val="21"/>
              </w:rPr>
              <w:t>法</w:t>
            </w:r>
          </w:p>
        </w:tc>
      </w:tr>
      <w:tr w14:paraId="2128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27063C05">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159C4424">
            <w:pPr>
              <w:widowControl/>
              <w:spacing w:line="264" w:lineRule="auto"/>
              <w:jc w:val="left"/>
              <w:rPr>
                <w:rFonts w:ascii="宋体" w:hAnsi="宋体"/>
                <w:color w:val="000000"/>
                <w:kern w:val="0"/>
                <w:sz w:val="21"/>
                <w:szCs w:val="21"/>
              </w:rPr>
            </w:pPr>
          </w:p>
        </w:tc>
        <w:tc>
          <w:tcPr>
            <w:tcW w:w="2509" w:type="pct"/>
            <w:noWrap w:val="0"/>
            <w:vAlign w:val="center"/>
          </w:tcPr>
          <w:p w14:paraId="79B353EF">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）寿命表法</w:t>
            </w:r>
          </w:p>
        </w:tc>
      </w:tr>
      <w:tr w14:paraId="13D6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5BD1C917">
            <w:pPr>
              <w:widowControl/>
              <w:spacing w:line="264" w:lineRule="auto"/>
              <w:jc w:val="left"/>
              <w:rPr>
                <w:rFonts w:ascii="宋体" w:hAnsi="宋体" w:cs="宋体"/>
                <w:color w:val="000000"/>
                <w:kern w:val="0"/>
                <w:sz w:val="21"/>
                <w:szCs w:val="21"/>
              </w:rPr>
            </w:pPr>
          </w:p>
        </w:tc>
        <w:tc>
          <w:tcPr>
            <w:tcW w:w="1418" w:type="pct"/>
            <w:noWrap w:val="0"/>
            <w:vAlign w:val="center"/>
          </w:tcPr>
          <w:p w14:paraId="4EE26B48">
            <w:pPr>
              <w:widowControl/>
              <w:spacing w:line="264" w:lineRule="auto"/>
              <w:rPr>
                <w:rFonts w:ascii="宋体" w:hAnsi="宋体"/>
                <w:color w:val="000000"/>
                <w:kern w:val="0"/>
                <w:sz w:val="21"/>
                <w:szCs w:val="21"/>
              </w:rPr>
            </w:pPr>
            <w:r>
              <w:rPr>
                <w:rFonts w:ascii="宋体" w:hAnsi="宋体"/>
                <w:color w:val="000000"/>
                <w:kern w:val="0"/>
                <w:sz w:val="21"/>
                <w:szCs w:val="21"/>
              </w:rPr>
              <w:t>3</w:t>
            </w:r>
            <w:r>
              <w:rPr>
                <w:rFonts w:hint="eastAsia" w:ascii="宋体" w:hAnsi="宋体"/>
                <w:color w:val="000000"/>
                <w:kern w:val="0"/>
                <w:sz w:val="21"/>
                <w:szCs w:val="21"/>
              </w:rPr>
              <w:t>、生存率的假设检验</w:t>
            </w:r>
          </w:p>
        </w:tc>
        <w:tc>
          <w:tcPr>
            <w:tcW w:w="2509" w:type="pct"/>
            <w:noWrap w:val="0"/>
            <w:vAlign w:val="center"/>
          </w:tcPr>
          <w:p w14:paraId="0BBCB64B">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对数秩检验</w:t>
            </w:r>
          </w:p>
        </w:tc>
      </w:tr>
      <w:tr w14:paraId="4F7B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restart"/>
            <w:noWrap w:val="0"/>
            <w:vAlign w:val="center"/>
          </w:tcPr>
          <w:p w14:paraId="051C278C">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十五、多元线性回归</w:t>
            </w:r>
          </w:p>
        </w:tc>
        <w:tc>
          <w:tcPr>
            <w:tcW w:w="1418" w:type="pct"/>
            <w:noWrap w:val="0"/>
            <w:vAlign w:val="center"/>
          </w:tcPr>
          <w:p w14:paraId="4DBFB761">
            <w:pPr>
              <w:widowControl/>
              <w:spacing w:line="264" w:lineRule="auto"/>
              <w:rPr>
                <w:rFonts w:ascii="宋体" w:hAnsi="宋体"/>
                <w:color w:val="000000"/>
                <w:kern w:val="0"/>
                <w:sz w:val="21"/>
                <w:szCs w:val="21"/>
              </w:rPr>
            </w:pPr>
            <w:r>
              <w:rPr>
                <w:rFonts w:ascii="宋体" w:hAnsi="宋体"/>
                <w:color w:val="000000"/>
                <w:kern w:val="0"/>
                <w:sz w:val="21"/>
                <w:szCs w:val="21"/>
              </w:rPr>
              <w:t>1</w:t>
            </w:r>
            <w:r>
              <w:rPr>
                <w:rFonts w:hint="eastAsia" w:ascii="宋体" w:hAnsi="宋体"/>
                <w:color w:val="000000"/>
                <w:kern w:val="0"/>
                <w:sz w:val="21"/>
                <w:szCs w:val="21"/>
              </w:rPr>
              <w:t>、多元线性回归的概念</w:t>
            </w:r>
          </w:p>
        </w:tc>
        <w:tc>
          <w:tcPr>
            <w:tcW w:w="2509" w:type="pct"/>
            <w:noWrap w:val="0"/>
            <w:vAlign w:val="center"/>
          </w:tcPr>
          <w:p w14:paraId="2B62AC9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）多元线性回归模型及模型中的参数</w:t>
            </w:r>
          </w:p>
        </w:tc>
      </w:tr>
      <w:tr w14:paraId="7E2C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66CDFE62">
            <w:pPr>
              <w:widowControl/>
              <w:spacing w:line="264" w:lineRule="auto"/>
              <w:jc w:val="left"/>
              <w:rPr>
                <w:rFonts w:ascii="宋体" w:hAnsi="宋体" w:cs="宋体"/>
                <w:color w:val="000000"/>
                <w:kern w:val="0"/>
                <w:sz w:val="21"/>
                <w:szCs w:val="21"/>
              </w:rPr>
            </w:pPr>
          </w:p>
        </w:tc>
        <w:tc>
          <w:tcPr>
            <w:tcW w:w="1418" w:type="pct"/>
            <w:vMerge w:val="restart"/>
            <w:noWrap w:val="0"/>
            <w:vAlign w:val="center"/>
          </w:tcPr>
          <w:p w14:paraId="3E52D28B">
            <w:pPr>
              <w:widowControl/>
              <w:spacing w:line="264" w:lineRule="auto"/>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、多元线性回归的应用</w:t>
            </w:r>
          </w:p>
        </w:tc>
        <w:tc>
          <w:tcPr>
            <w:tcW w:w="2509" w:type="pct"/>
            <w:noWrap w:val="0"/>
            <w:vAlign w:val="center"/>
          </w:tcPr>
          <w:p w14:paraId="08F11F41">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1</w:t>
            </w:r>
            <w:r>
              <w:rPr>
                <w:rFonts w:hint="eastAsia" w:ascii="宋体" w:hAnsi="宋体" w:cs="宋体"/>
                <w:color w:val="000000"/>
                <w:kern w:val="0"/>
                <w:sz w:val="21"/>
                <w:szCs w:val="21"/>
              </w:rPr>
              <w:t>）对回归模型的评价</w:t>
            </w:r>
          </w:p>
        </w:tc>
      </w:tr>
      <w:tr w14:paraId="1BCE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72" w:type="pct"/>
            <w:vMerge w:val="continue"/>
            <w:noWrap w:val="0"/>
            <w:vAlign w:val="center"/>
          </w:tcPr>
          <w:p w14:paraId="373A1AB0">
            <w:pPr>
              <w:widowControl/>
              <w:spacing w:line="264" w:lineRule="auto"/>
              <w:jc w:val="left"/>
              <w:rPr>
                <w:rFonts w:ascii="宋体" w:hAnsi="宋体" w:cs="宋体"/>
                <w:color w:val="000000"/>
                <w:kern w:val="0"/>
                <w:sz w:val="21"/>
                <w:szCs w:val="21"/>
              </w:rPr>
            </w:pPr>
          </w:p>
        </w:tc>
        <w:tc>
          <w:tcPr>
            <w:tcW w:w="1418" w:type="pct"/>
            <w:vMerge w:val="continue"/>
            <w:noWrap w:val="0"/>
            <w:vAlign w:val="center"/>
          </w:tcPr>
          <w:p w14:paraId="202C5F88">
            <w:pPr>
              <w:widowControl/>
              <w:spacing w:line="264" w:lineRule="auto"/>
              <w:jc w:val="left"/>
              <w:rPr>
                <w:rFonts w:ascii="宋体" w:hAnsi="宋体"/>
                <w:color w:val="000000"/>
                <w:kern w:val="0"/>
                <w:sz w:val="21"/>
                <w:szCs w:val="21"/>
              </w:rPr>
            </w:pPr>
          </w:p>
        </w:tc>
        <w:tc>
          <w:tcPr>
            <w:tcW w:w="2509" w:type="pct"/>
            <w:noWrap w:val="0"/>
            <w:vAlign w:val="center"/>
          </w:tcPr>
          <w:p w14:paraId="321E20CB">
            <w:pPr>
              <w:widowControl/>
              <w:spacing w:line="264" w:lineRule="auto"/>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olor w:val="000000"/>
                <w:kern w:val="0"/>
                <w:sz w:val="21"/>
                <w:szCs w:val="21"/>
              </w:rPr>
              <w:t>2</w:t>
            </w:r>
            <w:r>
              <w:rPr>
                <w:rFonts w:hint="eastAsia" w:ascii="宋体" w:hAnsi="宋体" w:cs="宋体"/>
                <w:color w:val="000000"/>
                <w:kern w:val="0"/>
                <w:sz w:val="21"/>
                <w:szCs w:val="21"/>
              </w:rPr>
              <w:t>）应用线性回归分析时应注意的事项</w:t>
            </w:r>
          </w:p>
        </w:tc>
      </w:tr>
    </w:tbl>
    <w:p w14:paraId="7FF4762C">
      <w:pPr>
        <w:rPr>
          <w:rFonts w:hint="eastAsia"/>
        </w:rPr>
      </w:pPr>
    </w:p>
    <w:p w14:paraId="5EE1B0B9">
      <w:pPr>
        <w:rPr>
          <w:rFonts w:hint="eastAsia" w:ascii="黑体" w:eastAsia="黑体"/>
        </w:rPr>
      </w:pPr>
      <w:r>
        <w:rPr>
          <w:rFonts w:hint="eastAsia"/>
        </w:rPr>
        <w:t xml:space="preserve">                        </w:t>
      </w:r>
      <w:r>
        <w:rPr>
          <w:rFonts w:hint="eastAsia" w:ascii="黑体" w:eastAsia="黑体"/>
        </w:rPr>
        <w:t xml:space="preserve"> </w:t>
      </w:r>
      <w:r>
        <w:rPr>
          <w:rFonts w:hint="eastAsia" w:ascii="黑体" w:eastAsia="黑体"/>
          <w:szCs w:val="24"/>
        </w:rPr>
        <w:t xml:space="preserve">第三部分  </w:t>
      </w:r>
      <w:r>
        <w:rPr>
          <w:rFonts w:hint="eastAsia" w:ascii="黑体" w:eastAsia="黑体"/>
        </w:rPr>
        <w:t>环境卫生学</w:t>
      </w:r>
    </w:p>
    <w:p w14:paraId="0FE5D781">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p>
    <w:p w14:paraId="288D230B">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一、考试目的</w:t>
      </w:r>
    </w:p>
    <w:p w14:paraId="7A75478C">
      <w:pPr>
        <w:pStyle w:val="3"/>
        <w:spacing w:line="264" w:lineRule="auto"/>
        <w:ind w:firstLine="426" w:firstLineChars="200"/>
        <w:rPr>
          <w:rFonts w:hint="eastAsia"/>
          <w:szCs w:val="21"/>
        </w:rPr>
      </w:pPr>
      <w:r>
        <w:rPr>
          <w:rFonts w:hint="eastAsia"/>
          <w:szCs w:val="21"/>
        </w:rPr>
        <w:t>环境卫生学是研究自然环境和生活环境与人群健康关系的科学。它既是预防医学的一个重要分支学科，又是环境科学的重要组成部分，因而可以说，环境卫生学是由预防医学与环境科学相互结合的产物。环境卫生学是以人类及其周围的环境为研究对象。阐明人类赖以生存的环境对人体健康的影响及人体对环境的作用产生的反应（即环境一机体相互作用），这是环境卫生学的基本任务。</w:t>
      </w:r>
    </w:p>
    <w:p w14:paraId="4FE96E35">
      <w:pPr>
        <w:pStyle w:val="3"/>
        <w:spacing w:line="264" w:lineRule="auto"/>
        <w:rPr>
          <w:rFonts w:hint="eastAsia"/>
          <w:szCs w:val="21"/>
        </w:rPr>
      </w:pPr>
      <w:r>
        <w:rPr>
          <w:rFonts w:hint="eastAsia"/>
          <w:szCs w:val="21"/>
        </w:rPr>
        <w:t>环境卫生学的研究内容包括大气卫生、水体卫生、饮用水卫生、土壤卫生、住宅与公共场所卫生、城乡规划卫生、环境质量评价和家用化学品卫生等。</w:t>
      </w:r>
    </w:p>
    <w:p w14:paraId="1C6FF544">
      <w:pPr>
        <w:pStyle w:val="3"/>
        <w:spacing w:line="264" w:lineRule="auto"/>
        <w:rPr>
          <w:rFonts w:hint="eastAsia"/>
          <w:szCs w:val="21"/>
        </w:rPr>
      </w:pPr>
    </w:p>
    <w:p w14:paraId="5B7E278B">
      <w:pPr>
        <w:keepNext w:val="0"/>
        <w:keepLines w:val="0"/>
        <w:pageBreakBefore w:val="0"/>
        <w:widowControl w:val="0"/>
        <w:numPr>
          <w:ilvl w:val="0"/>
          <w:numId w:val="1"/>
        </w:numPr>
        <w:kinsoku/>
        <w:wordWrap/>
        <w:overflowPunct/>
        <w:topLinePunct w:val="0"/>
        <w:autoSpaceDE/>
        <w:autoSpaceDN/>
        <w:bidi w:val="0"/>
        <w:adjustRightInd/>
        <w:snapToGrid/>
        <w:spacing w:line="264" w:lineRule="auto"/>
        <w:ind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考试题型</w:t>
      </w:r>
    </w:p>
    <w:p w14:paraId="79A38DE9">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名词解释、问答题、论述题。</w:t>
      </w:r>
    </w:p>
    <w:p w14:paraId="7D6D93FE">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p>
    <w:p w14:paraId="2F15EFF0">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三、考试内容</w:t>
      </w:r>
    </w:p>
    <w:p w14:paraId="6FE4C76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b/>
          <w:sz w:val="21"/>
          <w:szCs w:val="21"/>
        </w:rPr>
      </w:pPr>
      <w:r>
        <w:rPr>
          <w:rFonts w:hint="eastAsia"/>
          <w:b/>
          <w:sz w:val="21"/>
          <w:szCs w:val="21"/>
        </w:rPr>
        <w:t>（一）基础知识</w:t>
      </w:r>
    </w:p>
    <w:p w14:paraId="589D3679">
      <w:pPr>
        <w:spacing w:line="264" w:lineRule="auto"/>
        <w:ind w:firstLine="422" w:firstLineChars="199"/>
        <w:rPr>
          <w:rFonts w:hint="eastAsia"/>
          <w:sz w:val="21"/>
          <w:szCs w:val="21"/>
        </w:rPr>
      </w:pPr>
      <w:r>
        <w:rPr>
          <w:rFonts w:hint="eastAsia"/>
          <w:sz w:val="21"/>
          <w:szCs w:val="21"/>
        </w:rPr>
        <w:t>1、掌握环境卫生学的定义、研究对象及研究内容；</w:t>
      </w:r>
    </w:p>
    <w:p w14:paraId="0965DE19">
      <w:pPr>
        <w:spacing w:line="264" w:lineRule="auto"/>
        <w:ind w:firstLine="422" w:firstLineChars="199"/>
        <w:rPr>
          <w:rFonts w:hint="eastAsia"/>
          <w:sz w:val="21"/>
          <w:szCs w:val="21"/>
        </w:rPr>
      </w:pPr>
      <w:r>
        <w:rPr>
          <w:rFonts w:hint="eastAsia"/>
          <w:sz w:val="21"/>
          <w:szCs w:val="21"/>
        </w:rPr>
        <w:t>2、重点掌握环境、原生环境、次生环境、一次污染物、二次污染物、二次污染的概念；</w:t>
      </w:r>
    </w:p>
    <w:p w14:paraId="4CF6448C">
      <w:pPr>
        <w:spacing w:line="264" w:lineRule="auto"/>
        <w:ind w:firstLine="422" w:firstLineChars="199"/>
        <w:rPr>
          <w:rFonts w:hint="eastAsia"/>
          <w:sz w:val="21"/>
          <w:szCs w:val="21"/>
        </w:rPr>
      </w:pPr>
      <w:r>
        <w:rPr>
          <w:rFonts w:hint="eastAsia"/>
          <w:sz w:val="21"/>
          <w:szCs w:val="21"/>
        </w:rPr>
        <w:t>3、了解环境卫生学的发展简史及环境卫生工作的主要成就。今后我国环境卫生工作的主要任务。</w:t>
      </w:r>
    </w:p>
    <w:p w14:paraId="13E3D71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（二）环境与健康的关系</w:t>
      </w:r>
    </w:p>
    <w:p w14:paraId="68C29222">
      <w:pPr>
        <w:spacing w:line="264" w:lineRule="auto"/>
        <w:ind w:firstLine="422" w:firstLineChars="199"/>
        <w:rPr>
          <w:rFonts w:hint="eastAsia"/>
          <w:sz w:val="21"/>
          <w:szCs w:val="21"/>
        </w:rPr>
      </w:pPr>
      <w:r>
        <w:rPr>
          <w:rFonts w:hint="eastAsia"/>
          <w:sz w:val="21"/>
          <w:szCs w:val="21"/>
        </w:rPr>
        <w:t>1、掌握人类健康与疾病的生态学基础；掌握环境因素对人体健康影响的主要类型、作用特征及作用机理；掌握环境与健康关系的研究方法的辩证统一关系；</w:t>
      </w:r>
    </w:p>
    <w:p w14:paraId="56B4BCDC">
      <w:pPr>
        <w:spacing w:line="264" w:lineRule="auto"/>
        <w:ind w:firstLine="422" w:firstLineChars="199"/>
        <w:rPr>
          <w:rFonts w:hint="eastAsia"/>
          <w:sz w:val="21"/>
          <w:szCs w:val="21"/>
        </w:rPr>
      </w:pPr>
      <w:r>
        <w:rPr>
          <w:rFonts w:hint="eastAsia"/>
          <w:sz w:val="21"/>
          <w:szCs w:val="21"/>
        </w:rPr>
        <w:t>2、掌握名词：生态系统、生态平衡、食物链、生物放大作用、环境污染、剂量-反应关系、剂量-效应关系、生物标志物。了解全球性环境问题及其对人类健康的影响。</w:t>
      </w:r>
    </w:p>
    <w:p w14:paraId="62096D30">
      <w:pPr>
        <w:spacing w:line="264" w:lineRule="auto"/>
        <w:ind w:firstLine="422" w:firstLineChars="199"/>
        <w:rPr>
          <w:rFonts w:hint="eastAsia"/>
          <w:sz w:val="21"/>
          <w:szCs w:val="21"/>
        </w:rPr>
      </w:pPr>
      <w:r>
        <w:rPr>
          <w:rFonts w:hint="eastAsia"/>
          <w:sz w:val="21"/>
          <w:szCs w:val="21"/>
        </w:rPr>
        <w:t>3、掌握环境有害因素对机体作用的一般特征；</w:t>
      </w:r>
    </w:p>
    <w:p w14:paraId="515FF6A0">
      <w:pPr>
        <w:spacing w:line="264" w:lineRule="auto"/>
        <w:ind w:firstLine="422" w:firstLineChars="199"/>
        <w:rPr>
          <w:rFonts w:hint="eastAsia"/>
          <w:sz w:val="21"/>
          <w:szCs w:val="21"/>
        </w:rPr>
      </w:pPr>
      <w:r>
        <w:rPr>
          <w:rFonts w:hint="eastAsia"/>
          <w:sz w:val="21"/>
          <w:szCs w:val="21"/>
        </w:rPr>
        <w:t>4、重点掌握环境污染对健康的不同影响以及环境与健康关系的研究方法以及健康危险度评价。</w:t>
      </w:r>
    </w:p>
    <w:p w14:paraId="0DD52645">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（三）大气卫生</w:t>
      </w:r>
    </w:p>
    <w:p w14:paraId="317671C0">
      <w:pPr>
        <w:spacing w:line="264" w:lineRule="auto"/>
        <w:ind w:firstLine="422" w:firstLineChars="199"/>
        <w:rPr>
          <w:rFonts w:hint="eastAsia"/>
          <w:sz w:val="21"/>
          <w:szCs w:val="21"/>
        </w:rPr>
      </w:pPr>
      <w:r>
        <w:rPr>
          <w:rFonts w:hint="eastAsia"/>
          <w:sz w:val="21"/>
          <w:szCs w:val="21"/>
        </w:rPr>
        <w:t>1、掌握大气污染的概念，大气污染的来源及污染物的转归、主要的大气污染物；</w:t>
      </w:r>
    </w:p>
    <w:p w14:paraId="0C4D7BC7">
      <w:pPr>
        <w:spacing w:line="264" w:lineRule="auto"/>
        <w:ind w:firstLine="422" w:firstLineChars="199"/>
        <w:rPr>
          <w:rFonts w:hint="eastAsia"/>
          <w:sz w:val="21"/>
          <w:szCs w:val="21"/>
        </w:rPr>
      </w:pPr>
      <w:r>
        <w:rPr>
          <w:rFonts w:hint="eastAsia"/>
          <w:sz w:val="21"/>
          <w:szCs w:val="21"/>
        </w:rPr>
        <w:t>2、重点掌握影响大气中污染物浓度的因素，大气污染、主要污染物对人群健康的影响；</w:t>
      </w:r>
    </w:p>
    <w:p w14:paraId="1FC3EE10">
      <w:pPr>
        <w:spacing w:line="264" w:lineRule="auto"/>
        <w:ind w:firstLine="422" w:firstLineChars="199"/>
        <w:rPr>
          <w:rFonts w:hint="eastAsia"/>
          <w:sz w:val="21"/>
          <w:szCs w:val="21"/>
        </w:rPr>
      </w:pPr>
      <w:r>
        <w:rPr>
          <w:rFonts w:hint="eastAsia"/>
          <w:sz w:val="21"/>
          <w:szCs w:val="21"/>
        </w:rPr>
        <w:t>3、了解大气污染对健康影响的调查和监测方法，大气卫生防护措施；</w:t>
      </w:r>
    </w:p>
    <w:p w14:paraId="570FDCAA">
      <w:pPr>
        <w:spacing w:line="264" w:lineRule="auto"/>
        <w:ind w:firstLine="422" w:firstLineChars="199"/>
        <w:rPr>
          <w:rFonts w:hint="eastAsia"/>
          <w:sz w:val="21"/>
          <w:szCs w:val="21"/>
        </w:rPr>
      </w:pPr>
      <w:r>
        <w:rPr>
          <w:rFonts w:hint="eastAsia"/>
          <w:sz w:val="21"/>
          <w:szCs w:val="21"/>
        </w:rPr>
        <w:t>4、掌握名词：总悬浮颗粒物、可吸入颗粒物、有效排出高度、大气温度垂直递减率、自净、光化学型烟雾、慢性阻塞性肺疾患、温室效应、酸雨、基准、标准。</w:t>
      </w:r>
    </w:p>
    <w:p w14:paraId="73402AB2">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（四）水体卫生</w:t>
      </w:r>
    </w:p>
    <w:p w14:paraId="5BC9F4E8">
      <w:pPr>
        <w:spacing w:line="264" w:lineRule="auto"/>
        <w:ind w:firstLine="422" w:firstLineChars="199"/>
        <w:rPr>
          <w:rFonts w:hint="eastAsia"/>
          <w:sz w:val="21"/>
          <w:szCs w:val="21"/>
        </w:rPr>
      </w:pPr>
      <w:r>
        <w:rPr>
          <w:rFonts w:hint="eastAsia"/>
          <w:sz w:val="21"/>
          <w:szCs w:val="21"/>
        </w:rPr>
        <w:t>1、了解水资源的种类及其卫生意义、水质性状及评价指标；</w:t>
      </w:r>
    </w:p>
    <w:p w14:paraId="29363F8D">
      <w:pPr>
        <w:spacing w:line="264" w:lineRule="auto"/>
        <w:ind w:firstLine="422" w:firstLineChars="199"/>
        <w:rPr>
          <w:rFonts w:hint="eastAsia"/>
          <w:sz w:val="21"/>
          <w:szCs w:val="21"/>
        </w:rPr>
      </w:pPr>
      <w:r>
        <w:rPr>
          <w:rFonts w:hint="eastAsia"/>
          <w:sz w:val="21"/>
          <w:szCs w:val="21"/>
        </w:rPr>
        <w:t>2、掌握绍水体的污染、自净及水体污染的危害。</w:t>
      </w:r>
    </w:p>
    <w:p w14:paraId="6761BC21">
      <w:pPr>
        <w:spacing w:line="264" w:lineRule="auto"/>
        <w:ind w:firstLine="422" w:firstLineChars="199"/>
        <w:rPr>
          <w:rFonts w:hint="eastAsia"/>
          <w:sz w:val="21"/>
          <w:szCs w:val="21"/>
        </w:rPr>
      </w:pPr>
      <w:r>
        <w:rPr>
          <w:rFonts w:hint="eastAsia"/>
          <w:sz w:val="21"/>
          <w:szCs w:val="21"/>
        </w:rPr>
        <w:t>3、了解污水处理的方法、原理及原则。</w:t>
      </w:r>
    </w:p>
    <w:p w14:paraId="47A08143">
      <w:pPr>
        <w:spacing w:line="264" w:lineRule="auto"/>
        <w:ind w:firstLine="422" w:firstLineChars="199"/>
        <w:rPr>
          <w:rFonts w:hint="eastAsia"/>
          <w:sz w:val="21"/>
          <w:szCs w:val="21"/>
        </w:rPr>
      </w:pPr>
      <w:r>
        <w:rPr>
          <w:rFonts w:hint="eastAsia"/>
          <w:sz w:val="21"/>
          <w:szCs w:val="21"/>
        </w:rPr>
        <w:t>4、掌握水体污染的卫生调查、监测，水体的卫生监督。</w:t>
      </w:r>
    </w:p>
    <w:p w14:paraId="477230D2">
      <w:pPr>
        <w:spacing w:line="264" w:lineRule="auto"/>
        <w:ind w:firstLine="422" w:firstLineChars="199"/>
        <w:rPr>
          <w:sz w:val="21"/>
          <w:szCs w:val="21"/>
        </w:rPr>
      </w:pPr>
      <w:r>
        <w:rPr>
          <w:rFonts w:hint="eastAsia"/>
          <w:sz w:val="21"/>
          <w:szCs w:val="21"/>
        </w:rPr>
        <w:t>5、掌握名词：水的浑浊度、总固体、硬度、溶解氧、化学耗氧量、生化需氧量、总有机碳、总需氧量、细菌总数、大肠菌群、粪大肠菌群、水体污染、水体富营养化、水体自净、生物富集作用、生物放大作用、公害病</w:t>
      </w:r>
    </w:p>
    <w:p w14:paraId="3ADA8162">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（五）饮用水卫生</w:t>
      </w:r>
    </w:p>
    <w:p w14:paraId="233B566B">
      <w:pPr>
        <w:numPr>
          <w:ilvl w:val="0"/>
          <w:numId w:val="2"/>
        </w:numPr>
        <w:spacing w:line="264" w:lineRule="auto"/>
        <w:ind w:left="0" w:firstLine="422" w:firstLineChars="199"/>
        <w:rPr>
          <w:rFonts w:hint="eastAsia"/>
          <w:sz w:val="21"/>
          <w:szCs w:val="21"/>
        </w:rPr>
      </w:pPr>
      <w:r>
        <w:rPr>
          <w:rFonts w:hint="eastAsia"/>
          <w:sz w:val="21"/>
          <w:szCs w:val="21"/>
        </w:rPr>
        <w:t>重点掌握饮用水与疾病的发生原因及其防治要求，饮用水氯化消毒的方法与影响因素；</w:t>
      </w:r>
    </w:p>
    <w:p w14:paraId="6F6620D6">
      <w:pPr>
        <w:numPr>
          <w:ilvl w:val="0"/>
          <w:numId w:val="2"/>
        </w:numPr>
        <w:spacing w:line="264" w:lineRule="auto"/>
        <w:ind w:left="0" w:firstLine="422" w:firstLineChars="199"/>
        <w:rPr>
          <w:rFonts w:hint="eastAsia"/>
          <w:sz w:val="21"/>
          <w:szCs w:val="21"/>
        </w:rPr>
      </w:pPr>
      <w:r>
        <w:rPr>
          <w:rFonts w:hint="eastAsia"/>
          <w:sz w:val="21"/>
          <w:szCs w:val="21"/>
        </w:rPr>
        <w:t>熟悉生活饮用水水质标准，分散式给水、集中式给水的卫生要求。</w:t>
      </w:r>
    </w:p>
    <w:p w14:paraId="404323A8">
      <w:pPr>
        <w:numPr>
          <w:ilvl w:val="0"/>
          <w:numId w:val="2"/>
        </w:numPr>
        <w:spacing w:line="264" w:lineRule="auto"/>
        <w:ind w:left="0" w:firstLine="422" w:firstLineChars="199"/>
        <w:rPr>
          <w:rFonts w:hint="eastAsia"/>
          <w:sz w:val="21"/>
          <w:szCs w:val="21"/>
        </w:rPr>
      </w:pPr>
      <w:r>
        <w:rPr>
          <w:rFonts w:hint="eastAsia"/>
          <w:sz w:val="21"/>
          <w:szCs w:val="21"/>
        </w:rPr>
        <w:t>熟悉涉水产品的卫生毒理学评价程序。</w:t>
      </w:r>
    </w:p>
    <w:p w14:paraId="4CD2CDA2">
      <w:pPr>
        <w:numPr>
          <w:ilvl w:val="0"/>
          <w:numId w:val="2"/>
        </w:numPr>
        <w:spacing w:line="264" w:lineRule="auto"/>
        <w:ind w:left="0" w:firstLine="422" w:firstLineChars="199"/>
        <w:rPr>
          <w:rFonts w:hint="eastAsia"/>
          <w:sz w:val="21"/>
          <w:szCs w:val="21"/>
        </w:rPr>
      </w:pPr>
      <w:r>
        <w:rPr>
          <w:rFonts w:hint="eastAsia"/>
          <w:sz w:val="21"/>
          <w:szCs w:val="21"/>
        </w:rPr>
        <w:t>了解生活用水质标准，水质处理的有关问题，涉水产品的有关问题</w:t>
      </w:r>
    </w:p>
    <w:p w14:paraId="5222E1A0">
      <w:pPr>
        <w:numPr>
          <w:ilvl w:val="0"/>
          <w:numId w:val="2"/>
        </w:numPr>
        <w:spacing w:line="264" w:lineRule="auto"/>
        <w:ind w:left="0" w:firstLine="422" w:firstLineChars="199"/>
        <w:rPr>
          <w:rFonts w:hint="eastAsia"/>
          <w:sz w:val="21"/>
          <w:szCs w:val="21"/>
        </w:rPr>
      </w:pPr>
      <w:r>
        <w:rPr>
          <w:rFonts w:hint="eastAsia"/>
          <w:sz w:val="21"/>
          <w:szCs w:val="21"/>
        </w:rPr>
        <w:t>掌握名词：介水传染病、氯化消毒副产物、有机前体物、水的硬度、混凝沉淀、过滤氯化消毒、余氯。</w:t>
      </w:r>
    </w:p>
    <w:p w14:paraId="307E587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（六）土壤卫生</w:t>
      </w:r>
    </w:p>
    <w:p w14:paraId="2D7A2D04">
      <w:pPr>
        <w:spacing w:line="264" w:lineRule="auto"/>
        <w:ind w:firstLine="422" w:firstLineChars="199"/>
        <w:rPr>
          <w:rFonts w:hint="eastAsia"/>
          <w:sz w:val="21"/>
          <w:szCs w:val="21"/>
        </w:rPr>
      </w:pPr>
      <w:r>
        <w:rPr>
          <w:rFonts w:hint="eastAsia"/>
          <w:sz w:val="21"/>
          <w:szCs w:val="21"/>
        </w:rPr>
        <w:t>1、了解土壤的卫生学意义及卫生特征；</w:t>
      </w:r>
    </w:p>
    <w:p w14:paraId="4C53641C">
      <w:pPr>
        <w:spacing w:line="264" w:lineRule="auto"/>
        <w:ind w:firstLine="422" w:firstLineChars="199"/>
        <w:rPr>
          <w:rFonts w:hint="eastAsia"/>
          <w:sz w:val="21"/>
          <w:szCs w:val="21"/>
        </w:rPr>
      </w:pPr>
      <w:r>
        <w:rPr>
          <w:rFonts w:hint="eastAsia"/>
          <w:sz w:val="21"/>
          <w:szCs w:val="21"/>
        </w:rPr>
        <w:t>2、掌握土壤的污染与自净；</w:t>
      </w:r>
    </w:p>
    <w:p w14:paraId="530F5D99">
      <w:pPr>
        <w:spacing w:line="264" w:lineRule="auto"/>
        <w:ind w:firstLine="422" w:firstLineChars="199"/>
        <w:rPr>
          <w:rFonts w:hint="eastAsia"/>
          <w:sz w:val="21"/>
          <w:szCs w:val="21"/>
        </w:rPr>
      </w:pPr>
      <w:r>
        <w:rPr>
          <w:rFonts w:hint="eastAsia"/>
          <w:sz w:val="21"/>
          <w:szCs w:val="21"/>
        </w:rPr>
        <w:t>3、重点掌握土壤污染对健康的影响，以及土壤的卫生防护。</w:t>
      </w:r>
    </w:p>
    <w:p w14:paraId="2373578A">
      <w:pPr>
        <w:spacing w:line="264" w:lineRule="auto"/>
        <w:ind w:firstLine="422" w:firstLineChars="199"/>
        <w:rPr>
          <w:rFonts w:hint="eastAsia"/>
          <w:sz w:val="21"/>
          <w:szCs w:val="21"/>
        </w:rPr>
      </w:pPr>
      <w:r>
        <w:rPr>
          <w:rFonts w:hint="eastAsia"/>
          <w:sz w:val="21"/>
          <w:szCs w:val="21"/>
        </w:rPr>
        <w:t>4、掌握名词：土壤孔隙度、土壤的毛细作用、土壤中的背景值、土壤自净作用、氨化作用、硝化作用、反硝化作用、腐殖质</w:t>
      </w:r>
    </w:p>
    <w:p w14:paraId="2D3EEE8E">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（七）生物地球化学性疾病</w:t>
      </w:r>
    </w:p>
    <w:p w14:paraId="5C362A00">
      <w:pPr>
        <w:spacing w:line="264" w:lineRule="auto"/>
        <w:ind w:firstLine="422" w:firstLineChars="199"/>
        <w:rPr>
          <w:rFonts w:hint="eastAsia"/>
          <w:sz w:val="21"/>
          <w:szCs w:val="21"/>
        </w:rPr>
      </w:pPr>
      <w:r>
        <w:rPr>
          <w:rFonts w:hint="eastAsia"/>
          <w:sz w:val="21"/>
          <w:szCs w:val="21"/>
        </w:rPr>
        <w:t>1、掌握生物地球化学性疾病的定义及诊断方法。掌握碘缺乏病（IDD）、地方性氟中毒、地方性砷中毒的流行病学特征。了解地方性硒中毒、克山病、大骨节病的病因及流行病学特征。</w:t>
      </w:r>
    </w:p>
    <w:p w14:paraId="3A2E8769">
      <w:pPr>
        <w:spacing w:line="264" w:lineRule="auto"/>
        <w:ind w:firstLine="422" w:firstLineChars="199"/>
        <w:rPr>
          <w:rFonts w:hint="eastAsia"/>
          <w:sz w:val="21"/>
          <w:szCs w:val="21"/>
        </w:rPr>
      </w:pPr>
      <w:r>
        <w:rPr>
          <w:rFonts w:hint="eastAsia"/>
          <w:sz w:val="21"/>
          <w:szCs w:val="21"/>
        </w:rPr>
        <w:t>2、重点掌握IDD的病因、流行病学特征、发病机制及临床表现。</w:t>
      </w:r>
    </w:p>
    <w:p w14:paraId="2539705F">
      <w:pPr>
        <w:spacing w:line="264" w:lineRule="auto"/>
        <w:ind w:firstLine="422" w:firstLineChars="199"/>
        <w:rPr>
          <w:rFonts w:hint="eastAsia"/>
          <w:sz w:val="21"/>
          <w:szCs w:val="21"/>
        </w:rPr>
      </w:pPr>
      <w:r>
        <w:rPr>
          <w:rFonts w:hint="eastAsia"/>
          <w:sz w:val="21"/>
          <w:szCs w:val="21"/>
        </w:rPr>
        <w:t xml:space="preserve">3、掌握名词：生物地球化学性疾病、碘缺乏病、地方性氟中毒、地方性砷中毒、克山病。            </w:t>
      </w:r>
    </w:p>
    <w:p w14:paraId="764FF9E5">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（八）环境污染性疾病</w:t>
      </w:r>
    </w:p>
    <w:p w14:paraId="39558671">
      <w:pPr>
        <w:spacing w:line="264" w:lineRule="auto"/>
        <w:ind w:firstLine="422" w:firstLineChars="199"/>
        <w:rPr>
          <w:rFonts w:hint="eastAsia"/>
          <w:sz w:val="21"/>
          <w:szCs w:val="21"/>
        </w:rPr>
      </w:pPr>
      <w:r>
        <w:rPr>
          <w:rFonts w:hint="eastAsia"/>
          <w:sz w:val="21"/>
          <w:szCs w:val="21"/>
        </w:rPr>
        <w:t>1、了解环境污染性疾病的特点。</w:t>
      </w:r>
    </w:p>
    <w:p w14:paraId="6B531923">
      <w:pPr>
        <w:spacing w:line="264" w:lineRule="auto"/>
        <w:ind w:firstLine="422" w:firstLineChars="199"/>
        <w:rPr>
          <w:rFonts w:hint="eastAsia"/>
          <w:sz w:val="21"/>
          <w:szCs w:val="21"/>
        </w:rPr>
      </w:pPr>
      <w:r>
        <w:rPr>
          <w:rFonts w:hint="eastAsia"/>
          <w:sz w:val="21"/>
          <w:szCs w:val="21"/>
        </w:rPr>
        <w:t>2、掌握慢性甲基汞中毒、慢性镉中毒的发病原因、机制、流行病学概括、临床表现及诊断标准并了解其防制原则。</w:t>
      </w:r>
    </w:p>
    <w:p w14:paraId="08A5E6CC">
      <w:pPr>
        <w:spacing w:line="264" w:lineRule="auto"/>
        <w:ind w:firstLine="422" w:firstLineChars="199"/>
        <w:rPr>
          <w:rFonts w:hint="eastAsia"/>
          <w:sz w:val="21"/>
          <w:szCs w:val="21"/>
        </w:rPr>
      </w:pPr>
      <w:r>
        <w:rPr>
          <w:rFonts w:hint="eastAsia"/>
          <w:sz w:val="21"/>
          <w:szCs w:val="21"/>
        </w:rPr>
        <w:t>3、了解宣威肺癌高发的原因、流行病学特征及其病因的环境流行病学研究；了解军团菌病。</w:t>
      </w:r>
    </w:p>
    <w:p w14:paraId="0D1A59A0">
      <w:pPr>
        <w:spacing w:line="264" w:lineRule="auto"/>
        <w:ind w:firstLine="422" w:firstLineChars="199"/>
        <w:rPr>
          <w:rFonts w:hint="eastAsia"/>
          <w:sz w:val="21"/>
          <w:szCs w:val="21"/>
        </w:rPr>
      </w:pPr>
      <w:r>
        <w:rPr>
          <w:rFonts w:hint="eastAsia"/>
          <w:sz w:val="21"/>
          <w:szCs w:val="21"/>
        </w:rPr>
        <w:t>4、掌握名词：环境污染性疾病、公害病、慢性甲基汞中毒、水俣病、先天性水俣病、慢性镉中毒、痛痛病、退伍军人病。</w:t>
      </w:r>
    </w:p>
    <w:p w14:paraId="1D7D25F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（九）住宅与办公场所卫生</w:t>
      </w:r>
    </w:p>
    <w:p w14:paraId="4EE5A849">
      <w:pPr>
        <w:numPr>
          <w:ilvl w:val="0"/>
          <w:numId w:val="3"/>
        </w:numPr>
        <w:spacing w:line="264" w:lineRule="auto"/>
        <w:ind w:left="0" w:firstLine="422" w:firstLineChars="199"/>
        <w:rPr>
          <w:rFonts w:hint="eastAsia"/>
          <w:sz w:val="21"/>
          <w:szCs w:val="21"/>
        </w:rPr>
      </w:pPr>
      <w:r>
        <w:rPr>
          <w:rFonts w:hint="eastAsia"/>
          <w:sz w:val="21"/>
          <w:szCs w:val="21"/>
        </w:rPr>
        <w:t>掌握住宅设计的卫生要求、住宅小气候的综合评价指标、室内空气污染对健康的影响；</w:t>
      </w:r>
    </w:p>
    <w:p w14:paraId="34577467">
      <w:pPr>
        <w:numPr>
          <w:ilvl w:val="0"/>
          <w:numId w:val="3"/>
        </w:numPr>
        <w:spacing w:line="264" w:lineRule="auto"/>
        <w:ind w:left="0" w:firstLine="422" w:firstLineChars="199"/>
        <w:rPr>
          <w:rFonts w:hint="eastAsia"/>
          <w:sz w:val="21"/>
          <w:szCs w:val="21"/>
        </w:rPr>
      </w:pPr>
      <w:r>
        <w:rPr>
          <w:rFonts w:hint="eastAsia"/>
          <w:sz w:val="21"/>
          <w:szCs w:val="21"/>
        </w:rPr>
        <w:t>熟悉室内小气候及其生理评价指标；室内小气候的卫生要求；</w:t>
      </w:r>
    </w:p>
    <w:p w14:paraId="3BA1A3EC">
      <w:pPr>
        <w:numPr>
          <w:ilvl w:val="0"/>
          <w:numId w:val="3"/>
        </w:numPr>
        <w:spacing w:line="264" w:lineRule="auto"/>
        <w:ind w:left="0" w:firstLine="422" w:firstLineChars="199"/>
        <w:rPr>
          <w:rFonts w:hint="eastAsia"/>
          <w:sz w:val="21"/>
          <w:szCs w:val="21"/>
        </w:rPr>
      </w:pPr>
      <w:r>
        <w:rPr>
          <w:rFonts w:hint="eastAsia"/>
          <w:sz w:val="21"/>
          <w:szCs w:val="21"/>
        </w:rPr>
        <w:t>了解住宅的基本卫生要求及住宅设计的卫生学措施；</w:t>
      </w:r>
    </w:p>
    <w:p w14:paraId="4D2A5081">
      <w:pPr>
        <w:numPr>
          <w:ilvl w:val="0"/>
          <w:numId w:val="3"/>
        </w:numPr>
        <w:spacing w:line="264" w:lineRule="auto"/>
        <w:ind w:left="0" w:firstLine="422" w:firstLineChars="199"/>
        <w:rPr>
          <w:rFonts w:hint="eastAsia"/>
          <w:sz w:val="21"/>
          <w:szCs w:val="21"/>
        </w:rPr>
      </w:pPr>
      <w:r>
        <w:rPr>
          <w:rFonts w:hint="eastAsia"/>
          <w:sz w:val="21"/>
          <w:szCs w:val="21"/>
        </w:rPr>
        <w:t>了解办公场所污染来源及对健康的危害；</w:t>
      </w:r>
    </w:p>
    <w:p w14:paraId="44A819E6">
      <w:pPr>
        <w:numPr>
          <w:ilvl w:val="0"/>
          <w:numId w:val="3"/>
        </w:numPr>
        <w:spacing w:line="264" w:lineRule="auto"/>
        <w:ind w:left="0" w:firstLine="422" w:firstLineChars="199"/>
        <w:rPr>
          <w:rFonts w:hint="eastAsia"/>
          <w:sz w:val="21"/>
          <w:szCs w:val="21"/>
        </w:rPr>
      </w:pPr>
      <w:r>
        <w:rPr>
          <w:rFonts w:hint="eastAsia"/>
          <w:sz w:val="21"/>
          <w:szCs w:val="21"/>
        </w:rPr>
        <w:t>重点掌握室内空气污染与健康的关系、居室空气清洁度的评价方法及相应的卫生措施。</w:t>
      </w:r>
    </w:p>
    <w:p w14:paraId="632D4F5C">
      <w:pPr>
        <w:spacing w:line="264" w:lineRule="auto"/>
        <w:ind w:firstLine="422" w:firstLineChars="199"/>
        <w:rPr>
          <w:rFonts w:hint="eastAsia"/>
          <w:sz w:val="21"/>
          <w:szCs w:val="21"/>
        </w:rPr>
      </w:pPr>
      <w:r>
        <w:rPr>
          <w:rFonts w:hint="eastAsia"/>
          <w:sz w:val="21"/>
          <w:szCs w:val="21"/>
        </w:rPr>
        <w:t>6、掌握名词：住宅、不良建筑物综合征、居室容积、居室净高、居室进深、采光系数、室内小气候、有效温度、建筑物相关疾病</w:t>
      </w:r>
    </w:p>
    <w:p w14:paraId="21366CAC">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（十）公共场所卫生</w:t>
      </w:r>
    </w:p>
    <w:p w14:paraId="38F941F2">
      <w:pPr>
        <w:spacing w:line="264" w:lineRule="auto"/>
        <w:ind w:firstLine="422" w:firstLineChars="199"/>
        <w:rPr>
          <w:rFonts w:hint="eastAsia"/>
          <w:sz w:val="21"/>
          <w:szCs w:val="21"/>
        </w:rPr>
      </w:pPr>
      <w:r>
        <w:rPr>
          <w:rFonts w:hint="eastAsia"/>
          <w:sz w:val="21"/>
          <w:szCs w:val="21"/>
        </w:rPr>
        <w:t>1、了解公共场所的卫生学特点及对公共场所的卫生管理与监督。</w:t>
      </w:r>
    </w:p>
    <w:p w14:paraId="2170618A">
      <w:pPr>
        <w:spacing w:line="264" w:lineRule="auto"/>
        <w:ind w:firstLine="422" w:firstLineChars="199"/>
        <w:rPr>
          <w:rFonts w:hint="eastAsia"/>
          <w:sz w:val="21"/>
          <w:szCs w:val="21"/>
        </w:rPr>
      </w:pPr>
      <w:r>
        <w:rPr>
          <w:rFonts w:hint="eastAsia"/>
          <w:sz w:val="21"/>
          <w:szCs w:val="21"/>
        </w:rPr>
        <w:t>2、掌握名词：公共场所。</w:t>
      </w:r>
    </w:p>
    <w:p w14:paraId="25CCD2A4">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（十一）城乡规划卫生</w:t>
      </w:r>
    </w:p>
    <w:p w14:paraId="5E765514">
      <w:pPr>
        <w:spacing w:line="264" w:lineRule="auto"/>
        <w:ind w:firstLine="422" w:firstLineChars="199"/>
        <w:rPr>
          <w:rFonts w:hint="eastAsia"/>
          <w:sz w:val="21"/>
          <w:szCs w:val="21"/>
        </w:rPr>
      </w:pPr>
      <w:r>
        <w:rPr>
          <w:rFonts w:hint="eastAsia"/>
          <w:sz w:val="21"/>
          <w:szCs w:val="21"/>
        </w:rPr>
        <w:t>1、了解人居环境的内容、意义。熟悉城市规划的基础资料。掌握我国城乡规划的基本原则及卫生学要求。掌握居住区环境质量的评价指标及城市环境噪声的评价指标。</w:t>
      </w:r>
    </w:p>
    <w:p w14:paraId="56904043">
      <w:pPr>
        <w:spacing w:line="264" w:lineRule="auto"/>
        <w:ind w:firstLine="422" w:firstLineChars="199"/>
        <w:rPr>
          <w:sz w:val="21"/>
          <w:szCs w:val="21"/>
        </w:rPr>
      </w:pPr>
      <w:r>
        <w:rPr>
          <w:sz w:val="21"/>
          <w:szCs w:val="21"/>
        </w:rPr>
        <w:t>2</w:t>
      </w:r>
      <w:r>
        <w:rPr>
          <w:rFonts w:hint="eastAsia"/>
          <w:sz w:val="21"/>
          <w:szCs w:val="21"/>
        </w:rPr>
        <w:t>、重点掌握我国城乡规划的基本原则及卫生学要求。</w:t>
      </w:r>
    </w:p>
    <w:p w14:paraId="7ED38EC9">
      <w:pPr>
        <w:spacing w:line="264" w:lineRule="auto"/>
        <w:ind w:firstLine="422" w:firstLineChars="199"/>
        <w:rPr>
          <w:rFonts w:hint="eastAsia"/>
          <w:sz w:val="21"/>
          <w:szCs w:val="21"/>
        </w:rPr>
      </w:pPr>
      <w:r>
        <w:rPr>
          <w:sz w:val="21"/>
          <w:szCs w:val="21"/>
        </w:rPr>
        <w:t>3</w:t>
      </w:r>
      <w:r>
        <w:rPr>
          <w:rFonts w:hint="eastAsia"/>
          <w:sz w:val="21"/>
          <w:szCs w:val="21"/>
        </w:rPr>
        <w:t>、熟悉居住区环境质量及城市环境噪声的评价指标。</w:t>
      </w:r>
    </w:p>
    <w:p w14:paraId="2533562A">
      <w:pPr>
        <w:spacing w:line="264" w:lineRule="auto"/>
        <w:ind w:firstLine="422" w:firstLineChars="199"/>
        <w:rPr>
          <w:sz w:val="21"/>
          <w:szCs w:val="21"/>
        </w:rPr>
      </w:pPr>
      <w:r>
        <w:rPr>
          <w:rFonts w:hint="eastAsia"/>
          <w:sz w:val="21"/>
          <w:szCs w:val="21"/>
        </w:rPr>
        <w:t>4、掌握名词：城乡规划、城市功能分区、容积率、居住建筑密度、居住区人口密度、生态基础设施。</w:t>
      </w:r>
      <w:r>
        <w:rPr>
          <w:sz w:val="21"/>
          <w:szCs w:val="21"/>
        </w:rPr>
        <w:t xml:space="preserve">             </w:t>
      </w:r>
    </w:p>
    <w:p w14:paraId="66AEEC82">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（十二）环境质量评价</w:t>
      </w:r>
    </w:p>
    <w:p w14:paraId="44649870">
      <w:pPr>
        <w:numPr>
          <w:ilvl w:val="0"/>
          <w:numId w:val="4"/>
        </w:numPr>
        <w:spacing w:line="264" w:lineRule="auto"/>
        <w:ind w:left="0" w:firstLine="422" w:firstLineChars="199"/>
        <w:rPr>
          <w:rFonts w:hint="eastAsia"/>
          <w:sz w:val="21"/>
          <w:szCs w:val="21"/>
        </w:rPr>
      </w:pPr>
      <w:r>
        <w:rPr>
          <w:rFonts w:hint="eastAsia"/>
          <w:sz w:val="21"/>
          <w:szCs w:val="21"/>
        </w:rPr>
        <w:t>掌握环境质量评价的内容及环境质量指数法。</w:t>
      </w:r>
    </w:p>
    <w:p w14:paraId="061FA7CA">
      <w:pPr>
        <w:numPr>
          <w:ilvl w:val="0"/>
          <w:numId w:val="4"/>
        </w:numPr>
        <w:spacing w:line="264" w:lineRule="auto"/>
        <w:ind w:left="0" w:firstLine="422" w:firstLineChars="199"/>
        <w:rPr>
          <w:rFonts w:hint="eastAsia"/>
          <w:sz w:val="21"/>
          <w:szCs w:val="21"/>
        </w:rPr>
      </w:pPr>
      <w:r>
        <w:rPr>
          <w:rFonts w:hint="eastAsia"/>
          <w:sz w:val="21"/>
          <w:szCs w:val="21"/>
        </w:rPr>
        <w:t>熟悉环境影响评价的方法。</w:t>
      </w:r>
    </w:p>
    <w:p w14:paraId="5E121800">
      <w:pPr>
        <w:numPr>
          <w:ilvl w:val="0"/>
          <w:numId w:val="4"/>
        </w:numPr>
        <w:spacing w:line="264" w:lineRule="auto"/>
        <w:ind w:left="0" w:firstLine="422" w:firstLineChars="199"/>
        <w:rPr>
          <w:rFonts w:hint="eastAsia"/>
          <w:sz w:val="21"/>
          <w:szCs w:val="21"/>
        </w:rPr>
      </w:pPr>
      <w:r>
        <w:rPr>
          <w:rFonts w:hint="eastAsia"/>
          <w:sz w:val="21"/>
          <w:szCs w:val="21"/>
        </w:rPr>
        <w:t>了解环境质量评价的目的、种类。</w:t>
      </w:r>
    </w:p>
    <w:p w14:paraId="281A1E69">
      <w:pPr>
        <w:numPr>
          <w:ilvl w:val="0"/>
          <w:numId w:val="4"/>
        </w:numPr>
        <w:spacing w:line="264" w:lineRule="auto"/>
        <w:ind w:left="0" w:firstLine="422" w:firstLineChars="199"/>
        <w:rPr>
          <w:rFonts w:hint="eastAsia"/>
          <w:sz w:val="21"/>
          <w:szCs w:val="21"/>
        </w:rPr>
      </w:pPr>
      <w:r>
        <w:rPr>
          <w:rFonts w:hint="eastAsia"/>
          <w:sz w:val="21"/>
          <w:szCs w:val="21"/>
        </w:rPr>
        <w:t>掌握名词：环境质量评价、环境质量指数法、环境影响评价、环境健康影响评价、环境风险评价。</w:t>
      </w:r>
    </w:p>
    <w:p w14:paraId="73FCB6C9">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（十三）家用化学品卫生</w:t>
      </w:r>
    </w:p>
    <w:p w14:paraId="34F60D5F">
      <w:pPr>
        <w:numPr>
          <w:ilvl w:val="0"/>
          <w:numId w:val="5"/>
        </w:numPr>
        <w:spacing w:line="264" w:lineRule="auto"/>
        <w:ind w:left="0" w:firstLine="422" w:firstLineChars="199"/>
        <w:rPr>
          <w:rFonts w:hint="eastAsia"/>
          <w:sz w:val="21"/>
          <w:szCs w:val="21"/>
        </w:rPr>
      </w:pPr>
      <w:r>
        <w:rPr>
          <w:rFonts w:hint="eastAsia"/>
          <w:sz w:val="21"/>
          <w:szCs w:val="21"/>
        </w:rPr>
        <w:t>掌握家用化学品的安全性评价和卫生标准。</w:t>
      </w:r>
    </w:p>
    <w:p w14:paraId="61D3DCF2">
      <w:pPr>
        <w:numPr>
          <w:ilvl w:val="0"/>
          <w:numId w:val="5"/>
        </w:numPr>
        <w:spacing w:line="264" w:lineRule="auto"/>
        <w:ind w:left="0" w:firstLine="422" w:firstLineChars="199"/>
        <w:rPr>
          <w:rFonts w:hint="eastAsia"/>
          <w:sz w:val="21"/>
          <w:szCs w:val="21"/>
        </w:rPr>
      </w:pPr>
      <w:r>
        <w:rPr>
          <w:rFonts w:hint="eastAsia"/>
          <w:sz w:val="21"/>
          <w:szCs w:val="21"/>
        </w:rPr>
        <w:t>熟悉家用化学品和化妆品对健康的不良影响。</w:t>
      </w:r>
    </w:p>
    <w:p w14:paraId="5B305B52">
      <w:pPr>
        <w:numPr>
          <w:ilvl w:val="0"/>
          <w:numId w:val="5"/>
        </w:numPr>
        <w:spacing w:line="264" w:lineRule="auto"/>
        <w:ind w:left="0" w:firstLine="422" w:firstLineChars="199"/>
        <w:rPr>
          <w:sz w:val="21"/>
          <w:szCs w:val="21"/>
        </w:rPr>
      </w:pPr>
      <w:r>
        <w:rPr>
          <w:rFonts w:hint="eastAsia"/>
          <w:sz w:val="21"/>
          <w:szCs w:val="21"/>
        </w:rPr>
        <w:t>了解家用化学品和化妆品的种类、卫生监督和管理。</w:t>
      </w:r>
    </w:p>
    <w:p w14:paraId="21A8B957">
      <w:pPr>
        <w:spacing w:line="264" w:lineRule="auto"/>
        <w:ind w:firstLine="422" w:firstLineChars="199"/>
        <w:rPr>
          <w:rFonts w:hint="eastAsia"/>
          <w:sz w:val="21"/>
          <w:szCs w:val="21"/>
        </w:rPr>
      </w:pPr>
      <w:r>
        <w:rPr>
          <w:sz w:val="21"/>
          <w:szCs w:val="21"/>
        </w:rPr>
        <w:t>4</w:t>
      </w:r>
      <w:r>
        <w:rPr>
          <w:rFonts w:hint="eastAsia"/>
          <w:sz w:val="21"/>
          <w:szCs w:val="21"/>
        </w:rPr>
        <w:t>、 掌握名词：化妆品、刺激性接触性皮炎、变应性接触性皮炎、化妆品光感性皮炎、光毒性皮炎、化妆品痤疮</w:t>
      </w:r>
    </w:p>
    <w:p w14:paraId="07EE1DA7">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rPr>
        <w:t>（十四）突发环境污染事件及其应急处理</w:t>
      </w:r>
    </w:p>
    <w:p w14:paraId="41B2C689">
      <w:pPr>
        <w:numPr>
          <w:ilvl w:val="0"/>
          <w:numId w:val="6"/>
        </w:numPr>
        <w:spacing w:line="264" w:lineRule="auto"/>
        <w:ind w:left="0" w:firstLine="422" w:firstLineChars="199"/>
        <w:rPr>
          <w:rFonts w:hint="eastAsia"/>
          <w:sz w:val="21"/>
          <w:szCs w:val="21"/>
        </w:rPr>
      </w:pPr>
      <w:r>
        <w:rPr>
          <w:rFonts w:hint="eastAsia"/>
          <w:sz w:val="21"/>
          <w:szCs w:val="21"/>
        </w:rPr>
        <w:t>掌握突发性环境污染事件的定义、基本特征，了解其分类、分级。</w:t>
      </w:r>
    </w:p>
    <w:p w14:paraId="30EA4176">
      <w:pPr>
        <w:numPr>
          <w:ilvl w:val="0"/>
          <w:numId w:val="6"/>
        </w:numPr>
        <w:spacing w:line="264" w:lineRule="auto"/>
        <w:ind w:left="0" w:firstLine="422" w:firstLineChars="199"/>
        <w:rPr>
          <w:rFonts w:hint="eastAsia"/>
          <w:sz w:val="21"/>
          <w:szCs w:val="21"/>
        </w:rPr>
      </w:pPr>
      <w:r>
        <w:rPr>
          <w:rFonts w:hint="eastAsia"/>
          <w:sz w:val="21"/>
          <w:szCs w:val="21"/>
        </w:rPr>
        <w:t>了解突发性环境污染事件的危害。</w:t>
      </w:r>
    </w:p>
    <w:p w14:paraId="12BB1B08">
      <w:pPr>
        <w:numPr>
          <w:ilvl w:val="0"/>
          <w:numId w:val="6"/>
        </w:numPr>
        <w:spacing w:line="264" w:lineRule="auto"/>
        <w:ind w:left="0" w:firstLine="422" w:firstLineChars="199"/>
        <w:rPr>
          <w:sz w:val="21"/>
          <w:szCs w:val="21"/>
        </w:rPr>
      </w:pPr>
      <w:r>
        <w:rPr>
          <w:rFonts w:hint="eastAsia"/>
          <w:sz w:val="21"/>
          <w:szCs w:val="21"/>
        </w:rPr>
        <w:t>重点掌握突发性环境污染事件的应急准备及应急处理。</w:t>
      </w:r>
    </w:p>
    <w:p w14:paraId="7E8B3D3E">
      <w:pPr>
        <w:spacing w:line="264" w:lineRule="auto"/>
        <w:ind w:firstLine="422" w:firstLineChars="199"/>
        <w:rPr>
          <w:rFonts w:hint="eastAsia"/>
          <w:sz w:val="21"/>
          <w:szCs w:val="21"/>
        </w:rPr>
      </w:pPr>
      <w:r>
        <w:rPr>
          <w:sz w:val="21"/>
          <w:szCs w:val="21"/>
        </w:rPr>
        <w:t>4</w:t>
      </w:r>
      <w:r>
        <w:rPr>
          <w:rFonts w:hint="eastAsia"/>
          <w:sz w:val="21"/>
          <w:szCs w:val="21"/>
        </w:rPr>
        <w:t>、 掌握名词：突发性环境污染事件、应急准备、应急响应、应急监测。</w:t>
      </w:r>
    </w:p>
    <w:p w14:paraId="53E15272">
      <w:pPr>
        <w:spacing w:line="300" w:lineRule="auto"/>
        <w:jc w:val="center"/>
        <w:rPr>
          <w:rFonts w:hint="eastAsia" w:ascii="黑体" w:eastAsia="黑体"/>
          <w:sz w:val="21"/>
          <w:szCs w:val="21"/>
        </w:rPr>
      </w:pPr>
    </w:p>
    <w:p w14:paraId="28599C07">
      <w:pPr>
        <w:spacing w:line="300" w:lineRule="auto"/>
        <w:jc w:val="center"/>
        <w:rPr>
          <w:rFonts w:hint="eastAsia" w:ascii="黑体" w:hAnsi="宋体" w:eastAsia="黑体"/>
          <w:b/>
          <w:bCs/>
          <w:szCs w:val="24"/>
        </w:rPr>
      </w:pPr>
      <w:r>
        <w:rPr>
          <w:rFonts w:hint="eastAsia" w:ascii="黑体" w:eastAsia="黑体"/>
          <w:szCs w:val="24"/>
        </w:rPr>
        <w:t>第四部分  职业卫生与职业医学</w:t>
      </w:r>
    </w:p>
    <w:p w14:paraId="67222384">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p>
    <w:p w14:paraId="5CE8E2E0">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一、考试目的</w:t>
      </w:r>
    </w:p>
    <w:p w14:paraId="51260C93">
      <w:pPr>
        <w:spacing w:line="264" w:lineRule="auto"/>
        <w:ind w:firstLine="426" w:firstLineChars="200"/>
        <w:rPr>
          <w:rFonts w:hint="eastAsia" w:ascii="宋体" w:hAnsi="宋体"/>
          <w:bCs/>
          <w:sz w:val="21"/>
          <w:szCs w:val="21"/>
          <w:lang w:eastAsia="zh-CN"/>
        </w:rPr>
      </w:pPr>
      <w:r>
        <w:rPr>
          <w:rFonts w:hint="eastAsia" w:ascii="宋体" w:hAnsi="宋体"/>
          <w:bCs/>
          <w:sz w:val="21"/>
          <w:szCs w:val="21"/>
        </w:rPr>
        <w:t>熟悉职业卫生与职业医学所涉及的主要概念、基本理论以及职业病致病因素与职业防护的方法</w:t>
      </w:r>
      <w:r>
        <w:rPr>
          <w:rFonts w:hint="eastAsia" w:ascii="宋体" w:hAnsi="宋体"/>
          <w:bCs/>
          <w:sz w:val="21"/>
          <w:szCs w:val="21"/>
          <w:lang w:eastAsia="zh-CN"/>
        </w:rPr>
        <w:t>。</w:t>
      </w:r>
    </w:p>
    <w:p w14:paraId="6A74D31A">
      <w:pPr>
        <w:spacing w:line="264" w:lineRule="auto"/>
        <w:ind w:firstLine="426" w:firstLineChars="200"/>
        <w:rPr>
          <w:rFonts w:hint="eastAsia" w:ascii="宋体" w:hAnsi="宋体"/>
          <w:bCs/>
          <w:sz w:val="21"/>
          <w:szCs w:val="21"/>
          <w:lang w:eastAsia="zh-CN"/>
        </w:rPr>
      </w:pPr>
    </w:p>
    <w:p w14:paraId="25F07CF8">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二、考试内容</w:t>
      </w:r>
    </w:p>
    <w:p w14:paraId="3FB71C13">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b/>
          <w:sz w:val="21"/>
          <w:szCs w:val="21"/>
        </w:rPr>
      </w:pPr>
      <w:r>
        <w:rPr>
          <w:rFonts w:hint="eastAsia" w:ascii="宋体" w:hAnsi="宋体"/>
          <w:b/>
          <w:sz w:val="21"/>
          <w:szCs w:val="21"/>
        </w:rPr>
        <w:t>（一）概论</w:t>
      </w:r>
    </w:p>
    <w:p w14:paraId="41DBE44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【目的要求】</w:t>
      </w:r>
    </w:p>
    <w:p w14:paraId="29DF2668">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1．掌握职业卫生与职业医学的基本概念、职业性有害因素的致病模式与职业病的特点。</w:t>
      </w:r>
    </w:p>
    <w:p w14:paraId="17ADFBD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2．掌握三级预防原则。</w:t>
      </w:r>
    </w:p>
    <w:p w14:paraId="26E0D057">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3．熟悉职业性有害因素与职业性病损。职业病的诊断。</w:t>
      </w:r>
    </w:p>
    <w:p w14:paraId="380752F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4．熟悉体力劳动时机体的调节与适应。</w:t>
      </w:r>
    </w:p>
    <w:p w14:paraId="33A41EB0">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5．熟悉劳动过程中有关疾病及预防。</w:t>
      </w:r>
    </w:p>
    <w:p w14:paraId="13DF9DF7">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6．了解作业类型、劳动过程中作业能力的动态、人类工效学的基本原理与应用、作业能力的主要影响因素及其改善措施。</w:t>
      </w:r>
    </w:p>
    <w:p w14:paraId="659DB6C7">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【内容】</w:t>
      </w:r>
    </w:p>
    <w:p w14:paraId="52F647B5">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1．基本概念：职业性有害因素；职业性病损；职业病；健康工人效应；氧需、氧债、氧上限、动力（态）作业；静力（态）作业。</w:t>
      </w:r>
    </w:p>
    <w:p w14:paraId="265EBC86">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2．职业性有害因素的致病模式与职业病的特点，三级预防原则。</w:t>
      </w:r>
    </w:p>
    <w:p w14:paraId="54DE8372">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职业病诊断原则、职业卫生与职业医学的基本准则。</w:t>
      </w:r>
    </w:p>
    <w:p w14:paraId="00060440">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3．职业生命质量：职业生命，职业生命质量。</w:t>
      </w:r>
    </w:p>
    <w:p w14:paraId="5857AA73">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4．职业生理学：体力与脑力劳动过程的生理变化与适应，劳动负荷评价，作业能力等。</w:t>
      </w:r>
    </w:p>
    <w:p w14:paraId="7B907CBC">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5．职业心理学：社会心理因素，职业紧张，心身疾病等。</w:t>
      </w:r>
    </w:p>
    <w:p w14:paraId="71DCA9AC">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6．职业工效学：人体测量及应用，机器设备与工具，作业环境，劳动组织等。</w:t>
      </w:r>
    </w:p>
    <w:p w14:paraId="3484A960">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b/>
          <w:sz w:val="21"/>
          <w:szCs w:val="21"/>
        </w:rPr>
      </w:pPr>
      <w:r>
        <w:rPr>
          <w:rFonts w:hint="eastAsia" w:ascii="宋体" w:hAnsi="宋体"/>
          <w:b/>
          <w:sz w:val="21"/>
          <w:szCs w:val="21"/>
        </w:rPr>
        <w:t>（二）生产性毒物与职业中毒</w:t>
      </w:r>
    </w:p>
    <w:p w14:paraId="363E0894">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ascii="宋体" w:hAnsi="宋体"/>
          <w:sz w:val="21"/>
          <w:szCs w:val="21"/>
        </w:rPr>
      </w:pPr>
      <w:r>
        <w:rPr>
          <w:rFonts w:hint="eastAsia" w:ascii="宋体" w:hAnsi="宋体"/>
          <w:sz w:val="21"/>
          <w:szCs w:val="21"/>
        </w:rPr>
        <w:t>【目的要求】</w:t>
      </w:r>
    </w:p>
    <w:p w14:paraId="5D83F9C3">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1．掌握生产性毒物与职业中毒概念、毒物进入人体的途径、体内过程、影响毒物对机体毒作用的因素、生产性毒物危害的控制原则。</w:t>
      </w:r>
    </w:p>
    <w:p w14:paraId="536D91FE">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w:t>
      </w:r>
      <w:r>
        <w:rPr>
          <w:rFonts w:ascii="宋体" w:hAnsi="宋体"/>
          <w:sz w:val="21"/>
          <w:szCs w:val="21"/>
        </w:rPr>
        <w:t>掌握职业中毒临床类型及主要临床表现</w:t>
      </w:r>
      <w:r>
        <w:rPr>
          <w:rFonts w:hint="eastAsia" w:ascii="宋体" w:hAnsi="宋体"/>
          <w:sz w:val="21"/>
          <w:szCs w:val="21"/>
        </w:rPr>
        <w:t>；</w:t>
      </w:r>
      <w:r>
        <w:rPr>
          <w:rFonts w:ascii="宋体" w:hAnsi="宋体"/>
          <w:sz w:val="21"/>
          <w:szCs w:val="21"/>
        </w:rPr>
        <w:t>掌握常见毒物的</w:t>
      </w:r>
      <w:r>
        <w:rPr>
          <w:rFonts w:hint="eastAsia" w:ascii="宋体" w:hAnsi="宋体"/>
          <w:sz w:val="21"/>
          <w:szCs w:val="21"/>
        </w:rPr>
        <w:t>毒作用机制、</w:t>
      </w:r>
      <w:r>
        <w:rPr>
          <w:rFonts w:ascii="宋体" w:hAnsi="宋体"/>
          <w:sz w:val="21"/>
          <w:szCs w:val="21"/>
        </w:rPr>
        <w:t>毒作用表现</w:t>
      </w:r>
      <w:r>
        <w:rPr>
          <w:rFonts w:hint="eastAsia" w:ascii="宋体" w:hAnsi="宋体"/>
          <w:sz w:val="21"/>
          <w:szCs w:val="21"/>
        </w:rPr>
        <w:t>、</w:t>
      </w:r>
      <w:r>
        <w:rPr>
          <w:rFonts w:ascii="宋体" w:hAnsi="宋体"/>
          <w:sz w:val="21"/>
          <w:szCs w:val="21"/>
        </w:rPr>
        <w:t>处理原则及预防措施</w:t>
      </w:r>
      <w:r>
        <w:rPr>
          <w:rFonts w:hint="eastAsia" w:ascii="宋体" w:hAnsi="宋体"/>
          <w:sz w:val="21"/>
          <w:szCs w:val="21"/>
        </w:rPr>
        <w:t>。</w:t>
      </w:r>
    </w:p>
    <w:p w14:paraId="2498B239">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3．熟悉</w:t>
      </w:r>
      <w:r>
        <w:rPr>
          <w:rFonts w:ascii="宋体" w:hAnsi="宋体"/>
          <w:sz w:val="21"/>
          <w:szCs w:val="21"/>
        </w:rPr>
        <w:t>职业中毒</w:t>
      </w:r>
      <w:r>
        <w:rPr>
          <w:rFonts w:hint="eastAsia" w:ascii="宋体" w:hAnsi="宋体"/>
          <w:sz w:val="21"/>
          <w:szCs w:val="21"/>
        </w:rPr>
        <w:t>的</w:t>
      </w:r>
      <w:r>
        <w:rPr>
          <w:rFonts w:ascii="宋体" w:hAnsi="宋体"/>
          <w:sz w:val="21"/>
          <w:szCs w:val="21"/>
        </w:rPr>
        <w:t>诊断、急救和治疗原则。</w:t>
      </w:r>
    </w:p>
    <w:p w14:paraId="0693F98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4．了解</w:t>
      </w:r>
      <w:r>
        <w:rPr>
          <w:rFonts w:ascii="宋体" w:hAnsi="宋体"/>
          <w:sz w:val="21"/>
          <w:szCs w:val="21"/>
        </w:rPr>
        <w:t>毒物的存在状态</w:t>
      </w:r>
      <w:r>
        <w:rPr>
          <w:rFonts w:hint="eastAsia" w:ascii="宋体" w:hAnsi="宋体"/>
          <w:sz w:val="21"/>
          <w:szCs w:val="21"/>
        </w:rPr>
        <w:t>、</w:t>
      </w:r>
      <w:r>
        <w:rPr>
          <w:rFonts w:ascii="宋体" w:hAnsi="宋体"/>
          <w:sz w:val="21"/>
          <w:szCs w:val="21"/>
        </w:rPr>
        <w:t>接触机会。</w:t>
      </w:r>
    </w:p>
    <w:p w14:paraId="742957CC">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【内容】</w:t>
      </w:r>
    </w:p>
    <w:p w14:paraId="18E966A8">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1．概述：生产性毒物、气溶胶、职业中毒概念，生产性毒物来源、存在形态、接触机会、进入人体的途径。毒物在体内的过程，影响毒物对机体毒作用的因素，生产性毒物危害的控制原则等。</w:t>
      </w:r>
      <w:r>
        <w:rPr>
          <w:rFonts w:ascii="宋体" w:hAnsi="宋体"/>
          <w:sz w:val="21"/>
          <w:szCs w:val="21"/>
        </w:rPr>
        <w:t>职业中毒</w:t>
      </w:r>
      <w:r>
        <w:rPr>
          <w:rFonts w:hint="eastAsia" w:ascii="宋体" w:hAnsi="宋体"/>
          <w:sz w:val="21"/>
          <w:szCs w:val="21"/>
        </w:rPr>
        <w:t>临床类型及主要临床表现、诊断、急救和治疗原则。</w:t>
      </w:r>
    </w:p>
    <w:p w14:paraId="7EE905EA">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2．金属与类金属中毒：铅、汞。</w:t>
      </w:r>
    </w:p>
    <w:p w14:paraId="72E25D88">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3．刺激性气体中毒：氯气、氨、氮氧化物。</w:t>
      </w:r>
    </w:p>
    <w:p w14:paraId="011A4C0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4．窒息性气体中毒：一氧化碳、氰化氢、硫化氢。</w:t>
      </w:r>
    </w:p>
    <w:p w14:paraId="5A78141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5．有机溶剂中毒：苯中毒。</w:t>
      </w:r>
    </w:p>
    <w:p w14:paraId="6C47A712">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6．苯的氨基和硝基化合物毒作用共同点、苯胺、三硝基甲苯。</w:t>
      </w:r>
    </w:p>
    <w:p w14:paraId="3C29B439">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7．农药中毒：有机磷酸酯类农药。</w:t>
      </w:r>
    </w:p>
    <w:p w14:paraId="49CB287F">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b/>
          <w:sz w:val="21"/>
          <w:szCs w:val="21"/>
        </w:rPr>
      </w:pPr>
      <w:r>
        <w:rPr>
          <w:rFonts w:hint="eastAsia" w:ascii="宋体" w:hAnsi="宋体"/>
          <w:b/>
          <w:sz w:val="21"/>
          <w:szCs w:val="21"/>
        </w:rPr>
        <w:t>（三）生产性粉尘与尘肺</w:t>
      </w:r>
    </w:p>
    <w:p w14:paraId="76601676">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【目的要求】</w:t>
      </w:r>
    </w:p>
    <w:p w14:paraId="1CD4C68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1．掌握生产性粉尘与尘肺的基本概念、粉尘的理化特性及卫生学意义、尘肺的病因和基本病理改变、主要临床表现和诊断原则。</w:t>
      </w:r>
    </w:p>
    <w:p w14:paraId="3BB0C647">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2．熟悉粉尘对健康的影响和预防措施；熟悉矽肺概念、并发症，矽肺和石棉肺的X线表现。</w:t>
      </w:r>
    </w:p>
    <w:p w14:paraId="3E0578F6">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3．了解粉尘的来源与分类，了解煤工尘肺、棉尘病、其他尘肺等。</w:t>
      </w:r>
    </w:p>
    <w:p w14:paraId="3B032253">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【内容】</w:t>
      </w:r>
    </w:p>
    <w:p w14:paraId="51E482F9">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1．生产性粉尘、尘肺概念，粉尘的来源和分类，粉尘的理化特性及卫生学意义，粉尘对健康的影响，粉尘危害控制。</w:t>
      </w:r>
    </w:p>
    <w:p w14:paraId="49BADCA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2．尘肺的病因和基本病理改变、主要临床表现和诊断原则：矽肺、石棉肺、煤工尘肺、棉尘病。</w:t>
      </w:r>
    </w:p>
    <w:p w14:paraId="563D0D6F">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b/>
          <w:sz w:val="21"/>
          <w:szCs w:val="21"/>
        </w:rPr>
      </w:pPr>
      <w:r>
        <w:rPr>
          <w:rFonts w:hint="eastAsia" w:ascii="宋体" w:hAnsi="宋体"/>
          <w:b/>
          <w:sz w:val="21"/>
          <w:szCs w:val="21"/>
        </w:rPr>
        <w:t>（四）物理因素所致职业病</w:t>
      </w:r>
    </w:p>
    <w:p w14:paraId="5F32ADF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【目的要求】</w:t>
      </w:r>
    </w:p>
    <w:p w14:paraId="6F5840FC">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1．掌握</w:t>
      </w:r>
      <w:r>
        <w:rPr>
          <w:rFonts w:ascii="宋体" w:hAnsi="宋体"/>
          <w:sz w:val="21"/>
          <w:szCs w:val="21"/>
        </w:rPr>
        <w:t>高温作业、</w:t>
      </w:r>
      <w:r>
        <w:rPr>
          <w:rFonts w:hint="eastAsia" w:ascii="宋体" w:hAnsi="宋体"/>
          <w:sz w:val="21"/>
          <w:szCs w:val="21"/>
        </w:rPr>
        <w:t>生产性</w:t>
      </w:r>
      <w:r>
        <w:rPr>
          <w:rFonts w:ascii="宋体" w:hAnsi="宋体"/>
          <w:sz w:val="21"/>
          <w:szCs w:val="21"/>
        </w:rPr>
        <w:t>噪声、</w:t>
      </w:r>
      <w:r>
        <w:rPr>
          <w:rFonts w:hint="eastAsia" w:ascii="宋体" w:hAnsi="宋体"/>
          <w:sz w:val="21"/>
          <w:szCs w:val="21"/>
        </w:rPr>
        <w:t>声压级、</w:t>
      </w:r>
      <w:r>
        <w:rPr>
          <w:rFonts w:ascii="宋体" w:hAnsi="宋体"/>
          <w:sz w:val="21"/>
          <w:szCs w:val="21"/>
        </w:rPr>
        <w:t>电离辐射、非电离辐射的基本概念。</w:t>
      </w:r>
    </w:p>
    <w:p w14:paraId="14DD4AFE">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2．掌握防暑降温、防止噪声危害的措施。掌握噪声对机体的危害。</w:t>
      </w:r>
    </w:p>
    <w:p w14:paraId="3C7BD2B8">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w:t>
      </w:r>
      <w:r>
        <w:rPr>
          <w:rFonts w:ascii="宋体" w:hAnsi="宋体"/>
          <w:sz w:val="21"/>
          <w:szCs w:val="21"/>
        </w:rPr>
        <w:t>熟悉</w:t>
      </w:r>
      <w:r>
        <w:rPr>
          <w:rFonts w:hint="eastAsia" w:ascii="宋体" w:hAnsi="宋体"/>
          <w:sz w:val="21"/>
          <w:szCs w:val="21"/>
        </w:rPr>
        <w:t>中暑、减压病、手臂振动病的主要临床表现。</w:t>
      </w:r>
    </w:p>
    <w:p w14:paraId="45D746DE">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【内容】</w:t>
      </w:r>
    </w:p>
    <w:p w14:paraId="208E2398">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1．生产环境中的气象条件及特点；高温作业概念、类型与职业接触机会；高温中暑概念、表现，防暑降温措施。</w:t>
      </w:r>
    </w:p>
    <w:p w14:paraId="55CC573A">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2．生产性噪声</w:t>
      </w:r>
      <w:r>
        <w:rPr>
          <w:rFonts w:ascii="宋体" w:hAnsi="宋体"/>
          <w:sz w:val="21"/>
          <w:szCs w:val="21"/>
        </w:rPr>
        <w:t>、</w:t>
      </w:r>
      <w:r>
        <w:rPr>
          <w:rFonts w:hint="eastAsia" w:ascii="宋体" w:hAnsi="宋体"/>
          <w:sz w:val="21"/>
          <w:szCs w:val="21"/>
        </w:rPr>
        <w:t>声压级概念；噪声物理特性及其评价参数；噪声对人体影响，防噪声措施。</w:t>
      </w:r>
    </w:p>
    <w:p w14:paraId="2017B8E7">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3．振动及对人体的影响，手臂振动病，振动评价参数；减压病，电离辐射与非电离辐射概念及接触机会等。</w:t>
      </w:r>
    </w:p>
    <w:p w14:paraId="7BCBDED6">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b/>
          <w:sz w:val="21"/>
          <w:szCs w:val="21"/>
        </w:rPr>
      </w:pPr>
      <w:r>
        <w:rPr>
          <w:rFonts w:hint="eastAsia" w:ascii="宋体" w:hAnsi="宋体"/>
          <w:b/>
          <w:sz w:val="21"/>
          <w:szCs w:val="21"/>
        </w:rPr>
        <w:t>（五）职业性致癌因素与职业肿瘤</w:t>
      </w:r>
    </w:p>
    <w:p w14:paraId="5DFDDE81">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【目的要求】</w:t>
      </w:r>
    </w:p>
    <w:p w14:paraId="78E70AA3">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w:t>
      </w:r>
      <w:r>
        <w:rPr>
          <w:rFonts w:ascii="宋体" w:hAnsi="宋体"/>
          <w:sz w:val="21"/>
          <w:szCs w:val="21"/>
        </w:rPr>
        <w:t>掌握</w:t>
      </w:r>
      <w:r>
        <w:rPr>
          <w:rFonts w:hint="eastAsia" w:ascii="宋体" w:hAnsi="宋体"/>
          <w:sz w:val="21"/>
          <w:szCs w:val="21"/>
        </w:rPr>
        <w:t>职业性致癌因素与职业</w:t>
      </w:r>
      <w:r>
        <w:rPr>
          <w:rFonts w:ascii="宋体" w:hAnsi="宋体"/>
          <w:sz w:val="21"/>
          <w:szCs w:val="21"/>
        </w:rPr>
        <w:t>性</w:t>
      </w:r>
      <w:r>
        <w:rPr>
          <w:rFonts w:hint="eastAsia" w:ascii="宋体" w:hAnsi="宋体"/>
          <w:sz w:val="21"/>
          <w:szCs w:val="21"/>
        </w:rPr>
        <w:t>肿瘤概念、</w:t>
      </w:r>
      <w:r>
        <w:rPr>
          <w:rFonts w:ascii="宋体" w:hAnsi="宋体"/>
          <w:sz w:val="21"/>
          <w:szCs w:val="21"/>
        </w:rPr>
        <w:t>职业性致癌因素的识别与判定</w:t>
      </w:r>
      <w:r>
        <w:rPr>
          <w:rFonts w:hint="eastAsia" w:ascii="宋体" w:hAnsi="宋体"/>
          <w:sz w:val="21"/>
          <w:szCs w:val="21"/>
        </w:rPr>
        <w:t>。</w:t>
      </w:r>
    </w:p>
    <w:p w14:paraId="1820782E">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2．熟悉常见职业</w:t>
      </w:r>
      <w:r>
        <w:rPr>
          <w:rFonts w:ascii="宋体" w:hAnsi="宋体"/>
          <w:sz w:val="21"/>
          <w:szCs w:val="21"/>
        </w:rPr>
        <w:t>性</w:t>
      </w:r>
      <w:r>
        <w:rPr>
          <w:rFonts w:hint="eastAsia" w:ascii="宋体" w:hAnsi="宋体"/>
          <w:sz w:val="21"/>
          <w:szCs w:val="21"/>
        </w:rPr>
        <w:t>肿瘤、职业性致癌因素的</w:t>
      </w:r>
      <w:r>
        <w:rPr>
          <w:rFonts w:ascii="宋体" w:hAnsi="宋体"/>
          <w:sz w:val="21"/>
          <w:szCs w:val="21"/>
        </w:rPr>
        <w:t>作用特征。</w:t>
      </w:r>
    </w:p>
    <w:p w14:paraId="4E2A273E">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w:t>
      </w:r>
      <w:r>
        <w:rPr>
          <w:rFonts w:ascii="宋体" w:hAnsi="宋体"/>
          <w:sz w:val="21"/>
          <w:szCs w:val="21"/>
        </w:rPr>
        <w:t>了解常见职业性肿瘤的发病情况</w:t>
      </w:r>
      <w:r>
        <w:rPr>
          <w:rFonts w:hint="eastAsia" w:ascii="宋体" w:hAnsi="宋体"/>
          <w:sz w:val="21"/>
          <w:szCs w:val="21"/>
        </w:rPr>
        <w:t>、</w:t>
      </w:r>
      <w:r>
        <w:rPr>
          <w:rFonts w:ascii="宋体" w:hAnsi="宋体"/>
          <w:sz w:val="21"/>
          <w:szCs w:val="21"/>
        </w:rPr>
        <w:t>预防原则</w:t>
      </w:r>
      <w:r>
        <w:rPr>
          <w:rFonts w:hint="eastAsia" w:ascii="宋体" w:hAnsi="宋体"/>
          <w:sz w:val="21"/>
          <w:szCs w:val="21"/>
        </w:rPr>
        <w:t>。</w:t>
      </w:r>
    </w:p>
    <w:p w14:paraId="047301D9">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【内容】</w:t>
      </w:r>
    </w:p>
    <w:p w14:paraId="2D93A25C">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1．职业性致癌因素与职业性肿瘤概念。</w:t>
      </w:r>
    </w:p>
    <w:p w14:paraId="4B3DC3C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2．职业性致癌因素的</w:t>
      </w:r>
      <w:r>
        <w:rPr>
          <w:rFonts w:ascii="宋体" w:hAnsi="宋体"/>
          <w:sz w:val="21"/>
          <w:szCs w:val="21"/>
        </w:rPr>
        <w:t>作用特征</w:t>
      </w:r>
      <w:r>
        <w:rPr>
          <w:rFonts w:hint="eastAsia" w:ascii="宋体" w:hAnsi="宋体"/>
          <w:sz w:val="21"/>
          <w:szCs w:val="21"/>
        </w:rPr>
        <w:t>、</w:t>
      </w:r>
      <w:r>
        <w:rPr>
          <w:rFonts w:ascii="宋体" w:hAnsi="宋体"/>
          <w:sz w:val="21"/>
          <w:szCs w:val="21"/>
        </w:rPr>
        <w:t>识别与判定</w:t>
      </w:r>
      <w:r>
        <w:rPr>
          <w:rFonts w:hint="eastAsia" w:ascii="宋体" w:hAnsi="宋体"/>
          <w:sz w:val="21"/>
          <w:szCs w:val="21"/>
        </w:rPr>
        <w:t>，</w:t>
      </w:r>
      <w:r>
        <w:rPr>
          <w:rFonts w:ascii="宋体" w:hAnsi="宋体"/>
          <w:sz w:val="21"/>
          <w:szCs w:val="21"/>
        </w:rPr>
        <w:t>常见职业性肿瘤</w:t>
      </w:r>
      <w:r>
        <w:rPr>
          <w:rFonts w:hint="eastAsia" w:ascii="宋体" w:hAnsi="宋体"/>
          <w:sz w:val="21"/>
          <w:szCs w:val="21"/>
        </w:rPr>
        <w:t>及</w:t>
      </w:r>
      <w:r>
        <w:rPr>
          <w:rFonts w:ascii="宋体" w:hAnsi="宋体"/>
          <w:sz w:val="21"/>
          <w:szCs w:val="21"/>
        </w:rPr>
        <w:t>预防原则</w:t>
      </w:r>
      <w:r>
        <w:rPr>
          <w:rFonts w:hint="eastAsia" w:ascii="宋体" w:hAnsi="宋体"/>
          <w:sz w:val="21"/>
          <w:szCs w:val="21"/>
        </w:rPr>
        <w:t>。</w:t>
      </w:r>
    </w:p>
    <w:p w14:paraId="2D12B0A6">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b/>
          <w:sz w:val="21"/>
          <w:szCs w:val="21"/>
        </w:rPr>
      </w:pPr>
      <w:r>
        <w:rPr>
          <w:rFonts w:hint="eastAsia" w:ascii="宋体" w:hAnsi="宋体"/>
          <w:b/>
          <w:sz w:val="21"/>
          <w:szCs w:val="21"/>
        </w:rPr>
        <w:t>（六）职业性有害因素的识别、评价、预测与控制</w:t>
      </w:r>
    </w:p>
    <w:p w14:paraId="00CF873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【目的要求】</w:t>
      </w:r>
    </w:p>
    <w:p w14:paraId="17BB493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1．掌握职业性有害因素接触评定、危险度评定方法。</w:t>
      </w:r>
    </w:p>
    <w:p w14:paraId="2FCCA606">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2．熟悉生物接触限值的概念及制定原则。</w:t>
      </w:r>
    </w:p>
    <w:p w14:paraId="307A77E9">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3．熟悉健康监护的内容和方法。</w:t>
      </w:r>
    </w:p>
    <w:p w14:paraId="5F225F9E">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4．了解作业场所安全卫生评价。</w:t>
      </w:r>
    </w:p>
    <w:p w14:paraId="309012BB">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【内容】</w:t>
      </w:r>
    </w:p>
    <w:p w14:paraId="3A174BA9">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1．职业性有害因素接触评定及危险度评定。</w:t>
      </w:r>
    </w:p>
    <w:p w14:paraId="273BD4B6">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2．职业环境监测：监测对象的确定、检测方法、环境监测数据评价等。</w:t>
      </w:r>
    </w:p>
    <w:p w14:paraId="09AC8C6A">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3．生物监测概念、特点、类别等。</w:t>
      </w:r>
    </w:p>
    <w:p w14:paraId="736721F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4．健康监护内容和方法。</w:t>
      </w:r>
    </w:p>
    <w:p w14:paraId="6BA4C80A">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 xml:space="preserve">5．作业场所安全卫生评价：建设项目职业病危害评价、有害作业分级评价。 </w:t>
      </w:r>
    </w:p>
    <w:p w14:paraId="0D1C7EFE">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b/>
          <w:sz w:val="21"/>
          <w:szCs w:val="21"/>
        </w:rPr>
      </w:pPr>
      <w:r>
        <w:rPr>
          <w:rFonts w:hint="eastAsia" w:ascii="宋体" w:hAnsi="宋体"/>
          <w:b/>
          <w:sz w:val="21"/>
          <w:szCs w:val="21"/>
        </w:rPr>
        <w:t>（七）职业卫生法规与监督管理</w:t>
      </w:r>
    </w:p>
    <w:p w14:paraId="7DF0F0EF">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【目的要求】</w:t>
      </w:r>
    </w:p>
    <w:p w14:paraId="3DFB7DF4">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1．掌握工作场所有害物质接触限值的种类及概念。</w:t>
      </w:r>
    </w:p>
    <w:p w14:paraId="6F92D16F">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2．掌握工作场所有害物质接触限值的制定依据及制定原则。</w:t>
      </w:r>
    </w:p>
    <w:p w14:paraId="58D12529">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3．掌握职业卫生标准的应用。</w:t>
      </w:r>
    </w:p>
    <w:p w14:paraId="3B05F627">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4．熟悉职业病防治法的主要内容。</w:t>
      </w:r>
    </w:p>
    <w:p w14:paraId="73D7B4D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5．熟悉生物接触限值的概念及制定原则。</w:t>
      </w:r>
    </w:p>
    <w:p w14:paraId="297F5A39">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6．熟悉预防性职业卫生监督及经常性职业卫生监督的内容及意义。</w:t>
      </w:r>
    </w:p>
    <w:p w14:paraId="551C72F8">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7．熟悉职业病防治法相关配套法规。</w:t>
      </w:r>
    </w:p>
    <w:p w14:paraId="312CFF45">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ascii="宋体" w:hAnsi="宋体"/>
          <w:sz w:val="21"/>
          <w:szCs w:val="21"/>
        </w:rPr>
      </w:pPr>
      <w:r>
        <w:rPr>
          <w:rFonts w:hint="eastAsia" w:ascii="宋体" w:hAnsi="宋体"/>
          <w:sz w:val="21"/>
          <w:szCs w:val="21"/>
        </w:rPr>
        <w:t>【内容】</w:t>
      </w:r>
    </w:p>
    <w:p w14:paraId="7419EE4D">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1.职业病防治法相关配套法规。</w:t>
      </w:r>
    </w:p>
    <w:p w14:paraId="47937535">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2.职业卫生标准：工作场所有害物质接触限值、生物接触限值、</w:t>
      </w:r>
    </w:p>
    <w:p w14:paraId="1D3F4BD7">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ascii="宋体" w:hAnsi="宋体"/>
          <w:sz w:val="21"/>
          <w:szCs w:val="21"/>
        </w:rPr>
      </w:pPr>
      <w:r>
        <w:rPr>
          <w:rFonts w:hint="eastAsia" w:ascii="宋体" w:hAnsi="宋体"/>
          <w:sz w:val="21"/>
          <w:szCs w:val="21"/>
        </w:rPr>
        <w:t>3.化学致癌物接触限值、职业卫生标准的应用。</w:t>
      </w:r>
    </w:p>
    <w:p w14:paraId="5ECB1375">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4.职业卫生监督管理：预防性职业卫生监督、经常性职业卫生监督。</w:t>
      </w:r>
    </w:p>
    <w:p w14:paraId="23594354">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5.职业病诊断与鉴定的监督与管理。</w:t>
      </w:r>
    </w:p>
    <w:p w14:paraId="1BAF54D3">
      <w:pPr>
        <w:keepNext w:val="0"/>
        <w:keepLines w:val="0"/>
        <w:pageBreakBefore w:val="0"/>
        <w:widowControl w:val="0"/>
        <w:kinsoku/>
        <w:wordWrap/>
        <w:overflowPunct/>
        <w:topLinePunct w:val="0"/>
        <w:autoSpaceDE/>
        <w:autoSpaceDN/>
        <w:bidi w:val="0"/>
        <w:adjustRightInd/>
        <w:snapToGrid/>
        <w:spacing w:line="264" w:lineRule="auto"/>
        <w:ind w:firstLine="426" w:firstLineChars="200"/>
        <w:textAlignment w:val="auto"/>
        <w:rPr>
          <w:rFonts w:hint="eastAsia" w:ascii="宋体" w:hAnsi="宋体"/>
          <w:sz w:val="21"/>
          <w:szCs w:val="21"/>
        </w:rPr>
      </w:pPr>
      <w:r>
        <w:rPr>
          <w:rFonts w:hint="eastAsia" w:ascii="宋体" w:hAnsi="宋体"/>
          <w:sz w:val="21"/>
          <w:szCs w:val="21"/>
        </w:rPr>
        <w:t>6.事故处理与卫生监督。</w:t>
      </w:r>
    </w:p>
    <w:p w14:paraId="3562018B">
      <w:pPr>
        <w:spacing w:line="300" w:lineRule="auto"/>
        <w:rPr>
          <w:rFonts w:hint="eastAsia"/>
          <w:position w:val="-30"/>
          <w:sz w:val="21"/>
          <w:szCs w:val="21"/>
        </w:rPr>
      </w:pPr>
    </w:p>
    <w:p w14:paraId="56F58D11">
      <w:pPr>
        <w:spacing w:line="300" w:lineRule="auto"/>
        <w:jc w:val="center"/>
        <w:outlineLvl w:val="0"/>
        <w:rPr>
          <w:rFonts w:hint="eastAsia" w:ascii="黑体" w:eastAsia="黑体"/>
          <w:szCs w:val="24"/>
        </w:rPr>
      </w:pPr>
      <w:r>
        <w:rPr>
          <w:rFonts w:hint="eastAsia" w:ascii="黑体" w:eastAsia="黑体"/>
          <w:szCs w:val="24"/>
        </w:rPr>
        <w:t>第五部分 营养与食品卫生学</w:t>
      </w:r>
    </w:p>
    <w:p w14:paraId="62270DBA">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p>
    <w:p w14:paraId="2B85FA7F">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一、考试目的</w:t>
      </w:r>
    </w:p>
    <w:p w14:paraId="295BCF50">
      <w:pPr>
        <w:spacing w:line="264" w:lineRule="auto"/>
        <w:ind w:firstLine="426" w:firstLineChars="200"/>
        <w:rPr>
          <w:rFonts w:hint="eastAsia" w:ascii="宋体" w:hAnsi="宋体"/>
          <w:sz w:val="21"/>
          <w:szCs w:val="21"/>
        </w:rPr>
      </w:pPr>
      <w:r>
        <w:rPr>
          <w:rFonts w:hint="eastAsia" w:ascii="宋体" w:hAnsi="宋体"/>
          <w:sz w:val="21"/>
          <w:szCs w:val="21"/>
        </w:rPr>
        <w:t>考察学生对本学科基本概念、基础知识及其对基本概念与基础知识的理解和掌握程度，对问题的综合分析、应用能力。</w:t>
      </w:r>
    </w:p>
    <w:p w14:paraId="75FE34BA">
      <w:pPr>
        <w:spacing w:line="264" w:lineRule="auto"/>
        <w:ind w:firstLine="426" w:firstLineChars="200"/>
        <w:rPr>
          <w:rFonts w:hint="eastAsia" w:ascii="宋体" w:hAnsi="宋体"/>
          <w:sz w:val="21"/>
          <w:szCs w:val="21"/>
        </w:rPr>
      </w:pPr>
    </w:p>
    <w:p w14:paraId="7938AB22">
      <w:pPr>
        <w:keepNext w:val="0"/>
        <w:keepLines w:val="0"/>
        <w:pageBreakBefore w:val="0"/>
        <w:widowControl w:val="0"/>
        <w:kinsoku/>
        <w:wordWrap/>
        <w:overflowPunct/>
        <w:topLinePunct w:val="0"/>
        <w:autoSpaceDE/>
        <w:autoSpaceDN/>
        <w:bidi w:val="0"/>
        <w:adjustRightInd/>
        <w:snapToGrid/>
        <w:spacing w:line="264" w:lineRule="auto"/>
        <w:ind w:left="0" w:firstLine="426" w:firstLineChars="200"/>
        <w:textAlignment w:val="auto"/>
        <w:rPr>
          <w:rFonts w:hint="eastAsia" w:ascii="黑体" w:hAnsi="黑体" w:eastAsia="黑体" w:cs="Times New Roman"/>
          <w:sz w:val="21"/>
          <w:szCs w:val="21"/>
        </w:rPr>
      </w:pPr>
      <w:r>
        <w:rPr>
          <w:rFonts w:hint="eastAsia" w:ascii="黑体" w:hAnsi="黑体" w:eastAsia="黑体" w:cs="Times New Roman"/>
          <w:sz w:val="21"/>
          <w:szCs w:val="21"/>
        </w:rPr>
        <w:t>二、考试内容与要求</w:t>
      </w:r>
    </w:p>
    <w:p w14:paraId="24C4FA60">
      <w:pPr>
        <w:spacing w:line="264" w:lineRule="auto"/>
        <w:ind w:firstLine="426" w:firstLineChars="200"/>
        <w:rPr>
          <w:rFonts w:ascii="宋体" w:hAnsi="宋体"/>
          <w:b/>
          <w:sz w:val="21"/>
          <w:szCs w:val="21"/>
        </w:rPr>
      </w:pPr>
      <w:r>
        <w:rPr>
          <w:rFonts w:hint="eastAsia" w:ascii="宋体" w:hAnsi="宋体"/>
          <w:b/>
          <w:sz w:val="21"/>
          <w:szCs w:val="21"/>
        </w:rPr>
        <w:t>（一）</w:t>
      </w:r>
      <w:r>
        <w:rPr>
          <w:rFonts w:ascii="宋体" w:hAnsi="宋体"/>
          <w:b/>
          <w:sz w:val="21"/>
          <w:szCs w:val="21"/>
        </w:rPr>
        <w:t>营养学基础</w:t>
      </w:r>
    </w:p>
    <w:p w14:paraId="020F0707">
      <w:pPr>
        <w:spacing w:line="264" w:lineRule="auto"/>
        <w:ind w:firstLine="426" w:firstLineChars="200"/>
        <w:rPr>
          <w:rFonts w:hint="eastAsia" w:ascii="宋体" w:hAnsi="宋体"/>
          <w:sz w:val="21"/>
          <w:szCs w:val="21"/>
        </w:rPr>
      </w:pPr>
      <w:r>
        <w:rPr>
          <w:rFonts w:ascii="宋体" w:hAnsi="宋体"/>
          <w:sz w:val="21"/>
          <w:szCs w:val="21"/>
        </w:rPr>
        <w:t>掌握蛋白质、脂类、碳水化合物的基本概念，食物蛋白质营养学评价的方法，必需脂肪酸和膳食纤维的种类及生理功能，热能消耗的内容</w:t>
      </w:r>
      <w:r>
        <w:rPr>
          <w:rFonts w:hint="eastAsia" w:ascii="宋体" w:hAnsi="宋体"/>
          <w:sz w:val="21"/>
          <w:szCs w:val="21"/>
        </w:rPr>
        <w:t>及</w:t>
      </w:r>
      <w:r>
        <w:rPr>
          <w:rFonts w:ascii="宋体" w:hAnsi="宋体"/>
          <w:sz w:val="21"/>
          <w:szCs w:val="21"/>
        </w:rPr>
        <w:t>热能供给量及适宜比例。掌握各类矿物质和维生素的生理功能以及缺乏或过多对人体健康的影响</w:t>
      </w:r>
      <w:r>
        <w:rPr>
          <w:rFonts w:hint="eastAsia" w:ascii="宋体" w:hAnsi="宋体"/>
          <w:sz w:val="21"/>
          <w:szCs w:val="21"/>
        </w:rPr>
        <w:t>；</w:t>
      </w:r>
      <w:r>
        <w:rPr>
          <w:rFonts w:ascii="宋体" w:hAnsi="宋体"/>
          <w:sz w:val="21"/>
          <w:szCs w:val="21"/>
        </w:rPr>
        <w:t>各类矿物质</w:t>
      </w:r>
      <w:r>
        <w:rPr>
          <w:rFonts w:hint="eastAsia" w:ascii="宋体" w:hAnsi="宋体"/>
          <w:sz w:val="21"/>
          <w:szCs w:val="21"/>
        </w:rPr>
        <w:t>的</w:t>
      </w:r>
      <w:r>
        <w:rPr>
          <w:rFonts w:ascii="宋体" w:hAnsi="宋体"/>
          <w:sz w:val="21"/>
          <w:szCs w:val="21"/>
        </w:rPr>
        <w:t>吸收、代谢</w:t>
      </w:r>
      <w:r>
        <w:rPr>
          <w:rFonts w:hint="eastAsia" w:ascii="宋体" w:hAnsi="宋体"/>
          <w:sz w:val="21"/>
          <w:szCs w:val="21"/>
        </w:rPr>
        <w:t>和</w:t>
      </w:r>
      <w:r>
        <w:rPr>
          <w:rFonts w:ascii="宋体" w:hAnsi="宋体"/>
          <w:sz w:val="21"/>
          <w:szCs w:val="21"/>
        </w:rPr>
        <w:t>食物来源。</w:t>
      </w:r>
    </w:p>
    <w:p w14:paraId="25E54161">
      <w:pPr>
        <w:spacing w:line="264" w:lineRule="auto"/>
        <w:ind w:firstLine="426" w:firstLineChars="200"/>
        <w:rPr>
          <w:rFonts w:ascii="宋体" w:hAnsi="宋体"/>
          <w:sz w:val="21"/>
          <w:szCs w:val="21"/>
        </w:rPr>
      </w:pPr>
      <w:r>
        <w:rPr>
          <w:rFonts w:hint="eastAsia" w:ascii="宋体" w:hAnsi="宋体"/>
          <w:b/>
          <w:sz w:val="21"/>
          <w:szCs w:val="21"/>
        </w:rPr>
        <w:t>（二）</w:t>
      </w:r>
      <w:r>
        <w:rPr>
          <w:rFonts w:ascii="宋体" w:hAnsi="宋体"/>
          <w:b/>
          <w:sz w:val="21"/>
          <w:szCs w:val="21"/>
        </w:rPr>
        <w:t>植物化学物</w:t>
      </w:r>
    </w:p>
    <w:p w14:paraId="2D718ABA">
      <w:pPr>
        <w:spacing w:line="264" w:lineRule="auto"/>
        <w:ind w:firstLine="426" w:firstLineChars="200"/>
        <w:rPr>
          <w:rFonts w:ascii="宋体" w:hAnsi="宋体"/>
          <w:sz w:val="21"/>
          <w:szCs w:val="21"/>
        </w:rPr>
      </w:pPr>
      <w:r>
        <w:rPr>
          <w:rFonts w:hint="eastAsia" w:ascii="宋体" w:hAnsi="宋体"/>
          <w:sz w:val="21"/>
          <w:szCs w:val="21"/>
        </w:rPr>
        <w:t>掌握</w:t>
      </w:r>
      <w:r>
        <w:rPr>
          <w:rFonts w:ascii="宋体" w:hAnsi="宋体"/>
          <w:sz w:val="21"/>
          <w:szCs w:val="21"/>
        </w:rPr>
        <w:t>植物化学物的分类及黄酮类化合物、大蒜、大豆皂甙的生物学作用。</w:t>
      </w:r>
    </w:p>
    <w:p w14:paraId="1A64549B">
      <w:pPr>
        <w:spacing w:line="264" w:lineRule="auto"/>
        <w:ind w:firstLine="426" w:firstLineChars="200"/>
        <w:rPr>
          <w:rFonts w:ascii="宋体" w:hAnsi="宋体"/>
          <w:sz w:val="21"/>
          <w:szCs w:val="21"/>
        </w:rPr>
      </w:pPr>
      <w:r>
        <w:rPr>
          <w:rFonts w:hint="eastAsia" w:ascii="宋体" w:hAnsi="宋体"/>
          <w:b/>
          <w:sz w:val="21"/>
          <w:szCs w:val="21"/>
        </w:rPr>
        <w:t>（三）</w:t>
      </w:r>
      <w:r>
        <w:rPr>
          <w:rFonts w:ascii="宋体" w:hAnsi="宋体"/>
          <w:b/>
          <w:sz w:val="21"/>
          <w:szCs w:val="21"/>
        </w:rPr>
        <w:t>各类食品的营养价值</w:t>
      </w:r>
    </w:p>
    <w:p w14:paraId="1D2C60C9">
      <w:pPr>
        <w:spacing w:line="264" w:lineRule="auto"/>
        <w:rPr>
          <w:rFonts w:ascii="宋体" w:hAnsi="宋体"/>
          <w:sz w:val="21"/>
          <w:szCs w:val="21"/>
        </w:rPr>
      </w:pPr>
      <w:r>
        <w:rPr>
          <w:rFonts w:ascii="宋体" w:hAnsi="宋体"/>
          <w:sz w:val="21"/>
          <w:szCs w:val="21"/>
        </w:rPr>
        <w:t>掌握谷类食品的营养素组成特点及营养价值</w:t>
      </w:r>
      <w:r>
        <w:rPr>
          <w:rFonts w:hint="eastAsia" w:ascii="宋体" w:hAnsi="宋体"/>
          <w:sz w:val="21"/>
          <w:szCs w:val="21"/>
        </w:rPr>
        <w:t>；</w:t>
      </w:r>
      <w:r>
        <w:rPr>
          <w:rFonts w:ascii="宋体" w:hAnsi="宋体"/>
          <w:sz w:val="21"/>
          <w:szCs w:val="21"/>
        </w:rPr>
        <w:t>大豆</w:t>
      </w:r>
      <w:r>
        <w:rPr>
          <w:rFonts w:hint="eastAsia" w:ascii="宋体" w:hAnsi="宋体"/>
          <w:sz w:val="21"/>
          <w:szCs w:val="21"/>
        </w:rPr>
        <w:t>食品</w:t>
      </w:r>
      <w:r>
        <w:rPr>
          <w:rFonts w:ascii="宋体" w:hAnsi="宋体"/>
          <w:sz w:val="21"/>
          <w:szCs w:val="21"/>
        </w:rPr>
        <w:t>的营养价值</w:t>
      </w:r>
      <w:r>
        <w:rPr>
          <w:rFonts w:hint="eastAsia" w:ascii="宋体" w:hAnsi="宋体"/>
          <w:sz w:val="21"/>
          <w:szCs w:val="21"/>
        </w:rPr>
        <w:t>、</w:t>
      </w:r>
      <w:r>
        <w:rPr>
          <w:rFonts w:ascii="宋体" w:hAnsi="宋体"/>
          <w:sz w:val="21"/>
          <w:szCs w:val="21"/>
        </w:rPr>
        <w:t>抗营养因素及加工、烹调、储存条件等因素对食品营养价值的影响。</w:t>
      </w:r>
    </w:p>
    <w:p w14:paraId="67507144">
      <w:pPr>
        <w:spacing w:line="264" w:lineRule="auto"/>
        <w:ind w:firstLine="426" w:firstLineChars="200"/>
        <w:rPr>
          <w:rFonts w:ascii="宋体" w:hAnsi="宋体"/>
          <w:b/>
          <w:sz w:val="21"/>
          <w:szCs w:val="21"/>
        </w:rPr>
      </w:pPr>
      <w:r>
        <w:rPr>
          <w:rFonts w:hint="eastAsia" w:ascii="宋体" w:hAnsi="宋体"/>
          <w:b/>
          <w:sz w:val="21"/>
          <w:szCs w:val="21"/>
        </w:rPr>
        <w:t>（四）</w:t>
      </w:r>
      <w:r>
        <w:rPr>
          <w:rFonts w:ascii="宋体" w:hAnsi="宋体"/>
          <w:b/>
          <w:sz w:val="21"/>
          <w:szCs w:val="21"/>
        </w:rPr>
        <w:t>特殊人群的营养</w:t>
      </w:r>
    </w:p>
    <w:p w14:paraId="1870774A">
      <w:pPr>
        <w:spacing w:line="264" w:lineRule="auto"/>
        <w:ind w:firstLine="426" w:firstLineChars="200"/>
        <w:rPr>
          <w:rFonts w:hint="eastAsia" w:ascii="宋体" w:hAnsi="宋体"/>
          <w:sz w:val="21"/>
          <w:szCs w:val="21"/>
        </w:rPr>
      </w:pPr>
      <w:r>
        <w:rPr>
          <w:rFonts w:ascii="宋体" w:hAnsi="宋体"/>
          <w:sz w:val="21"/>
          <w:szCs w:val="21"/>
        </w:rPr>
        <w:t>掌握孕妇、母乳的营养需要；孕期营养不良对胎儿的影响；母乳喂养的优点。掌握儿童、青少年、老年人</w:t>
      </w:r>
      <w:r>
        <w:rPr>
          <w:rFonts w:hint="eastAsia" w:ascii="宋体" w:hAnsi="宋体"/>
          <w:sz w:val="21"/>
          <w:szCs w:val="21"/>
        </w:rPr>
        <w:t>、环境人群</w:t>
      </w:r>
      <w:r>
        <w:rPr>
          <w:rFonts w:ascii="宋体" w:hAnsi="宋体"/>
          <w:sz w:val="21"/>
          <w:szCs w:val="21"/>
        </w:rPr>
        <w:t>的营养需求及合理营养原则</w:t>
      </w:r>
      <w:r>
        <w:rPr>
          <w:rFonts w:hint="eastAsia" w:ascii="宋体" w:hAnsi="宋体"/>
          <w:sz w:val="21"/>
          <w:szCs w:val="21"/>
        </w:rPr>
        <w:t>；</w:t>
      </w:r>
    </w:p>
    <w:p w14:paraId="7952F8F7">
      <w:pPr>
        <w:spacing w:line="264" w:lineRule="auto"/>
        <w:ind w:firstLine="426" w:firstLineChars="200"/>
        <w:rPr>
          <w:rFonts w:ascii="宋体" w:hAnsi="宋体"/>
          <w:b/>
          <w:sz w:val="21"/>
          <w:szCs w:val="21"/>
        </w:rPr>
      </w:pPr>
      <w:r>
        <w:rPr>
          <w:rFonts w:hint="eastAsia" w:ascii="宋体" w:hAnsi="宋体"/>
          <w:b/>
          <w:sz w:val="21"/>
          <w:szCs w:val="21"/>
        </w:rPr>
        <w:t>（五）</w:t>
      </w:r>
      <w:r>
        <w:rPr>
          <w:rFonts w:ascii="宋体" w:hAnsi="宋体"/>
          <w:b/>
          <w:sz w:val="21"/>
          <w:szCs w:val="21"/>
        </w:rPr>
        <w:t>营养</w:t>
      </w:r>
      <w:r>
        <w:rPr>
          <w:rFonts w:hint="eastAsia" w:ascii="宋体" w:hAnsi="宋体"/>
          <w:b/>
          <w:sz w:val="21"/>
          <w:szCs w:val="21"/>
        </w:rPr>
        <w:t>与营养相关疾病</w:t>
      </w:r>
    </w:p>
    <w:p w14:paraId="2F367133">
      <w:pPr>
        <w:spacing w:line="264" w:lineRule="auto"/>
        <w:ind w:firstLine="426" w:firstLineChars="200"/>
        <w:rPr>
          <w:rFonts w:ascii="宋体" w:hAnsi="宋体"/>
          <w:sz w:val="21"/>
          <w:szCs w:val="21"/>
        </w:rPr>
      </w:pPr>
      <w:r>
        <w:rPr>
          <w:rFonts w:hint="eastAsia" w:ascii="宋体" w:hAnsi="宋体"/>
          <w:sz w:val="21"/>
          <w:szCs w:val="21"/>
        </w:rPr>
        <w:t>掌握膳食</w:t>
      </w:r>
      <w:r>
        <w:rPr>
          <w:rFonts w:ascii="宋体" w:hAnsi="宋体"/>
          <w:sz w:val="21"/>
          <w:szCs w:val="21"/>
        </w:rPr>
        <w:t>食营养因素对</w:t>
      </w:r>
      <w:r>
        <w:rPr>
          <w:rFonts w:hint="eastAsia" w:ascii="宋体" w:hAnsi="宋体"/>
          <w:sz w:val="21"/>
          <w:szCs w:val="21"/>
        </w:rPr>
        <w:t>肥胖、</w:t>
      </w:r>
      <w:r>
        <w:rPr>
          <w:rFonts w:ascii="宋体" w:hAnsi="宋体"/>
          <w:sz w:val="21"/>
          <w:szCs w:val="21"/>
        </w:rPr>
        <w:t>心血管疾病、糖尿病、</w:t>
      </w:r>
      <w:r>
        <w:rPr>
          <w:rFonts w:hint="eastAsia" w:ascii="宋体" w:hAnsi="宋体"/>
          <w:sz w:val="21"/>
          <w:szCs w:val="21"/>
        </w:rPr>
        <w:t>痛风、</w:t>
      </w:r>
      <w:r>
        <w:rPr>
          <w:rFonts w:ascii="宋体" w:hAnsi="宋体"/>
          <w:sz w:val="21"/>
          <w:szCs w:val="21"/>
        </w:rPr>
        <w:t>肿瘤</w:t>
      </w:r>
      <w:r>
        <w:rPr>
          <w:rFonts w:hint="eastAsia" w:ascii="宋体" w:hAnsi="宋体"/>
          <w:sz w:val="21"/>
          <w:szCs w:val="21"/>
        </w:rPr>
        <w:t>、免疫性疾病</w:t>
      </w:r>
      <w:r>
        <w:rPr>
          <w:rFonts w:ascii="宋体" w:hAnsi="宋体"/>
          <w:sz w:val="21"/>
          <w:szCs w:val="21"/>
        </w:rPr>
        <w:t>发生的影响</w:t>
      </w:r>
      <w:r>
        <w:rPr>
          <w:rFonts w:hint="eastAsia" w:ascii="宋体" w:hAnsi="宋体"/>
          <w:sz w:val="21"/>
          <w:szCs w:val="21"/>
        </w:rPr>
        <w:t>及营养与基因在疾病发生中的作用。</w:t>
      </w:r>
    </w:p>
    <w:p w14:paraId="426718DF">
      <w:pPr>
        <w:spacing w:line="264" w:lineRule="auto"/>
        <w:ind w:firstLine="426" w:firstLineChars="200"/>
        <w:rPr>
          <w:rFonts w:ascii="宋体" w:hAnsi="宋体"/>
          <w:sz w:val="21"/>
          <w:szCs w:val="21"/>
        </w:rPr>
      </w:pPr>
      <w:r>
        <w:rPr>
          <w:rFonts w:hint="eastAsia" w:ascii="宋体" w:hAnsi="宋体"/>
          <w:b/>
          <w:sz w:val="21"/>
          <w:szCs w:val="21"/>
        </w:rPr>
        <w:t>（六）</w:t>
      </w:r>
      <w:r>
        <w:rPr>
          <w:rFonts w:ascii="宋体" w:hAnsi="宋体"/>
          <w:b/>
          <w:sz w:val="21"/>
          <w:szCs w:val="21"/>
        </w:rPr>
        <w:t>社区营养</w:t>
      </w:r>
    </w:p>
    <w:p w14:paraId="09F4D4F5">
      <w:pPr>
        <w:spacing w:line="264" w:lineRule="auto"/>
        <w:ind w:firstLine="426" w:firstLineChars="200"/>
        <w:rPr>
          <w:rFonts w:ascii="宋体" w:hAnsi="宋体"/>
          <w:sz w:val="21"/>
          <w:szCs w:val="21"/>
        </w:rPr>
      </w:pPr>
      <w:r>
        <w:rPr>
          <w:rFonts w:ascii="宋体" w:hAnsi="宋体"/>
          <w:sz w:val="21"/>
          <w:szCs w:val="21"/>
        </w:rPr>
        <w:t>掌握膳食营养素参考摄入量的概念</w:t>
      </w:r>
      <w:r>
        <w:rPr>
          <w:rFonts w:hint="eastAsia" w:ascii="宋体" w:hAnsi="宋体"/>
          <w:sz w:val="21"/>
          <w:szCs w:val="21"/>
        </w:rPr>
        <w:t>及应用</w:t>
      </w:r>
      <w:r>
        <w:rPr>
          <w:rFonts w:ascii="宋体" w:hAnsi="宋体"/>
          <w:sz w:val="21"/>
          <w:szCs w:val="21"/>
        </w:rPr>
        <w:t>；居民营养状况调查的方法。</w:t>
      </w:r>
      <w:r>
        <w:rPr>
          <w:rFonts w:hint="eastAsia" w:ascii="宋体" w:hAnsi="宋体"/>
          <w:sz w:val="21"/>
          <w:szCs w:val="21"/>
        </w:rPr>
        <w:t>掌握</w:t>
      </w:r>
      <w:r>
        <w:rPr>
          <w:rFonts w:ascii="宋体" w:hAnsi="宋体"/>
          <w:sz w:val="21"/>
          <w:szCs w:val="21"/>
        </w:rPr>
        <w:t>社会营养监测、无公害食品、绿色食品、有机食品</w:t>
      </w:r>
      <w:r>
        <w:rPr>
          <w:rFonts w:hint="eastAsia" w:ascii="宋体" w:hAnsi="宋体"/>
          <w:sz w:val="21"/>
          <w:szCs w:val="21"/>
        </w:rPr>
        <w:t>、</w:t>
      </w:r>
      <w:r>
        <w:rPr>
          <w:rFonts w:ascii="宋体" w:hAnsi="宋体"/>
          <w:sz w:val="21"/>
          <w:szCs w:val="21"/>
        </w:rPr>
        <w:t>食品强化的概念、中国居民膳食指南及平衡膳食宝塔的内容。</w:t>
      </w:r>
    </w:p>
    <w:p w14:paraId="236D3DAF">
      <w:pPr>
        <w:spacing w:line="264" w:lineRule="auto"/>
        <w:ind w:firstLine="426" w:firstLineChars="200"/>
        <w:rPr>
          <w:rFonts w:ascii="宋体" w:hAnsi="宋体"/>
          <w:b/>
          <w:sz w:val="21"/>
          <w:szCs w:val="21"/>
        </w:rPr>
      </w:pPr>
      <w:r>
        <w:rPr>
          <w:rFonts w:hint="eastAsia" w:ascii="宋体" w:hAnsi="宋体"/>
          <w:b/>
          <w:sz w:val="21"/>
          <w:szCs w:val="21"/>
        </w:rPr>
        <w:t>（七）</w:t>
      </w:r>
      <w:r>
        <w:rPr>
          <w:rFonts w:ascii="宋体" w:hAnsi="宋体"/>
          <w:b/>
          <w:sz w:val="21"/>
          <w:szCs w:val="21"/>
        </w:rPr>
        <w:t>食品污染及其预防</w:t>
      </w:r>
    </w:p>
    <w:p w14:paraId="2E3168C2">
      <w:pPr>
        <w:spacing w:line="264" w:lineRule="auto"/>
        <w:ind w:firstLine="426" w:firstLineChars="200"/>
        <w:rPr>
          <w:rFonts w:hint="eastAsia" w:ascii="宋体" w:hAnsi="宋体"/>
          <w:sz w:val="21"/>
          <w:szCs w:val="21"/>
        </w:rPr>
      </w:pPr>
      <w:r>
        <w:rPr>
          <w:rFonts w:ascii="宋体" w:hAnsi="宋体"/>
          <w:sz w:val="21"/>
          <w:szCs w:val="21"/>
        </w:rPr>
        <w:t>掌握食品腐败变质的概念，食品腐败变质的化学过程及防止食品腐败变质的措施</w:t>
      </w:r>
      <w:r>
        <w:rPr>
          <w:rFonts w:hint="eastAsia" w:ascii="宋体" w:hAnsi="宋体"/>
          <w:sz w:val="21"/>
          <w:szCs w:val="21"/>
        </w:rPr>
        <w:t>，</w:t>
      </w:r>
      <w:r>
        <w:rPr>
          <w:rFonts w:ascii="宋体" w:hAnsi="宋体"/>
          <w:sz w:val="21"/>
          <w:szCs w:val="21"/>
        </w:rPr>
        <w:t>评价食品卫生质量的细菌污染指标、理化指标及意义，</w:t>
      </w:r>
      <w:r>
        <w:rPr>
          <w:rFonts w:hint="eastAsia" w:ascii="宋体" w:hAnsi="宋体"/>
          <w:sz w:val="21"/>
          <w:szCs w:val="21"/>
        </w:rPr>
        <w:t>掌握</w:t>
      </w:r>
      <w:r>
        <w:rPr>
          <w:rFonts w:ascii="宋体" w:hAnsi="宋体"/>
          <w:sz w:val="21"/>
          <w:szCs w:val="21"/>
        </w:rPr>
        <w:t>黄曲霉素对食品的污染</w:t>
      </w:r>
      <w:r>
        <w:rPr>
          <w:rFonts w:hint="eastAsia" w:ascii="宋体" w:hAnsi="宋体"/>
          <w:sz w:val="21"/>
          <w:szCs w:val="21"/>
        </w:rPr>
        <w:t>、</w:t>
      </w:r>
      <w:r>
        <w:rPr>
          <w:rFonts w:ascii="宋体" w:hAnsi="宋体"/>
          <w:sz w:val="21"/>
          <w:szCs w:val="21"/>
        </w:rPr>
        <w:t>毒性及预防措施。掌握N-亚硝基化合物、苯并（a）芘</w:t>
      </w:r>
      <w:r>
        <w:rPr>
          <w:rFonts w:hint="eastAsia" w:ascii="宋体" w:hAnsi="宋体"/>
          <w:sz w:val="21"/>
          <w:szCs w:val="21"/>
        </w:rPr>
        <w:t>、</w:t>
      </w:r>
      <w:r>
        <w:rPr>
          <w:rFonts w:ascii="宋体" w:hAnsi="宋体"/>
          <w:sz w:val="21"/>
          <w:szCs w:val="21"/>
        </w:rPr>
        <w:t>杂环胺类化合物</w:t>
      </w:r>
      <w:r>
        <w:rPr>
          <w:rFonts w:hint="eastAsia" w:ascii="宋体" w:hAnsi="宋体"/>
          <w:sz w:val="21"/>
          <w:szCs w:val="21"/>
        </w:rPr>
        <w:t>、</w:t>
      </w:r>
      <w:r>
        <w:rPr>
          <w:rFonts w:ascii="宋体" w:hAnsi="宋体"/>
          <w:sz w:val="21"/>
          <w:szCs w:val="21"/>
        </w:rPr>
        <w:t>环境持久性有机污染物污</w:t>
      </w:r>
      <w:r>
        <w:rPr>
          <w:rFonts w:hint="eastAsia" w:ascii="宋体" w:hAnsi="宋体"/>
          <w:sz w:val="21"/>
          <w:szCs w:val="21"/>
        </w:rPr>
        <w:t>、</w:t>
      </w:r>
      <w:r>
        <w:rPr>
          <w:rFonts w:ascii="宋体" w:hAnsi="宋体"/>
          <w:sz w:val="21"/>
          <w:szCs w:val="21"/>
        </w:rPr>
        <w:t>氯丙醇</w:t>
      </w:r>
      <w:r>
        <w:rPr>
          <w:rFonts w:hint="eastAsia" w:ascii="宋体" w:hAnsi="宋体"/>
          <w:sz w:val="21"/>
          <w:szCs w:val="21"/>
        </w:rPr>
        <w:t>、</w:t>
      </w:r>
      <w:r>
        <w:rPr>
          <w:rFonts w:ascii="宋体" w:hAnsi="宋体"/>
          <w:sz w:val="21"/>
          <w:szCs w:val="21"/>
        </w:rPr>
        <w:t>丙烯酰胺</w:t>
      </w:r>
      <w:r>
        <w:rPr>
          <w:rFonts w:hint="eastAsia" w:ascii="宋体" w:hAnsi="宋体"/>
          <w:sz w:val="21"/>
          <w:szCs w:val="21"/>
        </w:rPr>
        <w:t>化学性污染物及</w:t>
      </w:r>
      <w:r>
        <w:rPr>
          <w:rFonts w:ascii="宋体" w:hAnsi="宋体"/>
          <w:sz w:val="21"/>
          <w:szCs w:val="21"/>
        </w:rPr>
        <w:t>食品容器、包装材料</w:t>
      </w:r>
      <w:r>
        <w:rPr>
          <w:rFonts w:hint="eastAsia" w:ascii="宋体" w:hAnsi="宋体"/>
          <w:sz w:val="21"/>
          <w:szCs w:val="21"/>
        </w:rPr>
        <w:t>对食品的的</w:t>
      </w:r>
      <w:r>
        <w:rPr>
          <w:rFonts w:ascii="宋体" w:hAnsi="宋体"/>
          <w:sz w:val="21"/>
          <w:szCs w:val="21"/>
        </w:rPr>
        <w:t>污染及预防措施。</w:t>
      </w:r>
    </w:p>
    <w:p w14:paraId="5EDCE625">
      <w:pPr>
        <w:spacing w:line="264" w:lineRule="auto"/>
        <w:ind w:firstLine="426" w:firstLineChars="200"/>
        <w:rPr>
          <w:rFonts w:ascii="宋体" w:hAnsi="宋体"/>
          <w:b/>
          <w:sz w:val="21"/>
          <w:szCs w:val="21"/>
        </w:rPr>
      </w:pPr>
      <w:r>
        <w:rPr>
          <w:rFonts w:hint="eastAsia" w:ascii="宋体" w:hAnsi="宋体"/>
          <w:b/>
          <w:sz w:val="21"/>
          <w:szCs w:val="21"/>
        </w:rPr>
        <w:t>（八）</w:t>
      </w:r>
      <w:r>
        <w:rPr>
          <w:rFonts w:ascii="宋体" w:hAnsi="宋体"/>
          <w:b/>
          <w:sz w:val="21"/>
          <w:szCs w:val="21"/>
        </w:rPr>
        <w:t>食品添加剂及其管理</w:t>
      </w:r>
    </w:p>
    <w:p w14:paraId="3BF0081E">
      <w:pPr>
        <w:spacing w:line="264" w:lineRule="auto"/>
        <w:ind w:firstLine="426" w:firstLineChars="200"/>
        <w:rPr>
          <w:rFonts w:ascii="宋体" w:hAnsi="宋体"/>
          <w:sz w:val="21"/>
          <w:szCs w:val="21"/>
        </w:rPr>
      </w:pPr>
      <w:r>
        <w:rPr>
          <w:rFonts w:ascii="宋体" w:hAnsi="宋体"/>
          <w:sz w:val="21"/>
          <w:szCs w:val="21"/>
        </w:rPr>
        <w:t>掌握食品添加剂的定义、使用要求</w:t>
      </w:r>
      <w:r>
        <w:rPr>
          <w:rFonts w:hint="eastAsia" w:ascii="宋体" w:hAnsi="宋体"/>
          <w:sz w:val="21"/>
          <w:szCs w:val="21"/>
        </w:rPr>
        <w:t>及卫生管理</w:t>
      </w:r>
      <w:r>
        <w:rPr>
          <w:rFonts w:ascii="宋体" w:hAnsi="宋体"/>
          <w:sz w:val="21"/>
          <w:szCs w:val="21"/>
        </w:rPr>
        <w:t>。</w:t>
      </w:r>
      <w:r>
        <w:rPr>
          <w:rFonts w:hint="eastAsia" w:ascii="宋体" w:hAnsi="宋体"/>
          <w:sz w:val="21"/>
          <w:szCs w:val="21"/>
        </w:rPr>
        <w:t>掌握</w:t>
      </w:r>
      <w:r>
        <w:rPr>
          <w:rFonts w:ascii="宋体" w:hAnsi="宋体"/>
          <w:sz w:val="21"/>
          <w:szCs w:val="21"/>
        </w:rPr>
        <w:t>各类食品添加剂的</w:t>
      </w:r>
      <w:r>
        <w:rPr>
          <w:rFonts w:hint="eastAsia" w:ascii="宋体" w:hAnsi="宋体"/>
          <w:sz w:val="21"/>
          <w:szCs w:val="21"/>
        </w:rPr>
        <w:t>种类、</w:t>
      </w:r>
      <w:r>
        <w:rPr>
          <w:rFonts w:ascii="宋体" w:hAnsi="宋体"/>
          <w:sz w:val="21"/>
          <w:szCs w:val="21"/>
        </w:rPr>
        <w:t>用途、作用原理。</w:t>
      </w:r>
    </w:p>
    <w:p w14:paraId="7DD5BC2A">
      <w:pPr>
        <w:spacing w:line="264" w:lineRule="auto"/>
        <w:ind w:firstLine="426" w:firstLineChars="200"/>
        <w:rPr>
          <w:rFonts w:ascii="宋体" w:hAnsi="宋体"/>
          <w:b/>
          <w:sz w:val="21"/>
          <w:szCs w:val="21"/>
        </w:rPr>
      </w:pPr>
      <w:r>
        <w:rPr>
          <w:rFonts w:hint="eastAsia" w:ascii="宋体" w:hAnsi="宋体"/>
          <w:b/>
          <w:sz w:val="21"/>
          <w:szCs w:val="21"/>
        </w:rPr>
        <w:t>（九）食品新技术及其卫生学问题</w:t>
      </w:r>
    </w:p>
    <w:p w14:paraId="6A2D5FBE">
      <w:pPr>
        <w:spacing w:line="264" w:lineRule="auto"/>
        <w:ind w:firstLine="426" w:firstLineChars="200"/>
        <w:rPr>
          <w:rFonts w:hint="eastAsia" w:ascii="宋体" w:hAnsi="宋体"/>
          <w:sz w:val="21"/>
          <w:szCs w:val="21"/>
        </w:rPr>
      </w:pPr>
      <w:r>
        <w:rPr>
          <w:rFonts w:hint="eastAsia" w:ascii="宋体" w:hAnsi="宋体"/>
          <w:sz w:val="21"/>
          <w:szCs w:val="21"/>
        </w:rPr>
        <w:t>掌握食品新技术的内容及</w:t>
      </w:r>
      <w:r>
        <w:rPr>
          <w:rFonts w:ascii="宋体" w:hAnsi="宋体"/>
          <w:sz w:val="21"/>
          <w:szCs w:val="21"/>
        </w:rPr>
        <w:t>可能存在的</w:t>
      </w:r>
      <w:r>
        <w:rPr>
          <w:rFonts w:hint="eastAsia" w:ascii="宋体" w:hAnsi="宋体"/>
          <w:sz w:val="21"/>
          <w:szCs w:val="21"/>
        </w:rPr>
        <w:t>卫生学问题</w:t>
      </w:r>
    </w:p>
    <w:p w14:paraId="274FBA14">
      <w:pPr>
        <w:spacing w:line="264" w:lineRule="auto"/>
        <w:ind w:firstLine="426" w:firstLineChars="200"/>
        <w:rPr>
          <w:rFonts w:ascii="宋体" w:hAnsi="宋体"/>
          <w:sz w:val="21"/>
          <w:szCs w:val="21"/>
        </w:rPr>
      </w:pPr>
      <w:r>
        <w:rPr>
          <w:rFonts w:hint="eastAsia" w:ascii="宋体" w:hAnsi="宋体"/>
          <w:b/>
          <w:sz w:val="21"/>
          <w:szCs w:val="21"/>
        </w:rPr>
        <w:t>（十）</w:t>
      </w:r>
      <w:r>
        <w:rPr>
          <w:rFonts w:ascii="宋体" w:hAnsi="宋体"/>
          <w:b/>
          <w:sz w:val="21"/>
          <w:szCs w:val="21"/>
        </w:rPr>
        <w:t>各类食品卫生及其管理</w:t>
      </w:r>
    </w:p>
    <w:p w14:paraId="0DA3E392">
      <w:pPr>
        <w:spacing w:line="264" w:lineRule="auto"/>
        <w:ind w:firstLine="426" w:firstLineChars="200"/>
        <w:rPr>
          <w:rFonts w:hint="eastAsia" w:ascii="宋体" w:hAnsi="宋体"/>
          <w:sz w:val="21"/>
          <w:szCs w:val="21"/>
        </w:rPr>
      </w:pPr>
      <w:r>
        <w:rPr>
          <w:rFonts w:ascii="宋体" w:hAnsi="宋体"/>
          <w:sz w:val="21"/>
          <w:szCs w:val="21"/>
        </w:rPr>
        <w:t>掌握粮豆、蔬菜、水果、肉类及其制品、奶类及其制品、冷饮食品、酒类、罐头、食用油脂、调味品及其它食品存在的卫生问题；保健食品</w:t>
      </w:r>
      <w:r>
        <w:rPr>
          <w:rFonts w:hint="eastAsia" w:ascii="宋体" w:hAnsi="宋体"/>
          <w:sz w:val="21"/>
          <w:szCs w:val="21"/>
        </w:rPr>
        <w:t>、</w:t>
      </w:r>
      <w:r>
        <w:rPr>
          <w:rFonts w:ascii="宋体" w:hAnsi="宋体"/>
          <w:sz w:val="21"/>
          <w:szCs w:val="21"/>
        </w:rPr>
        <w:t>转基因食品的概念、功能定位</w:t>
      </w:r>
      <w:r>
        <w:rPr>
          <w:rFonts w:hint="eastAsia" w:ascii="宋体" w:hAnsi="宋体"/>
          <w:sz w:val="21"/>
          <w:szCs w:val="21"/>
        </w:rPr>
        <w:t>、</w:t>
      </w:r>
      <w:r>
        <w:rPr>
          <w:rFonts w:ascii="宋体" w:hAnsi="宋体"/>
          <w:sz w:val="21"/>
          <w:szCs w:val="21"/>
        </w:rPr>
        <w:t>评价</w:t>
      </w:r>
      <w:r>
        <w:rPr>
          <w:rFonts w:hint="eastAsia" w:ascii="宋体" w:hAnsi="宋体"/>
          <w:sz w:val="21"/>
          <w:szCs w:val="21"/>
        </w:rPr>
        <w:t>、</w:t>
      </w:r>
      <w:r>
        <w:rPr>
          <w:rFonts w:ascii="宋体" w:hAnsi="宋体"/>
          <w:sz w:val="21"/>
          <w:szCs w:val="21"/>
        </w:rPr>
        <w:t>卫生与安全管理。</w:t>
      </w:r>
    </w:p>
    <w:p w14:paraId="2EADC978">
      <w:pPr>
        <w:spacing w:line="264" w:lineRule="auto"/>
        <w:ind w:firstLine="426" w:firstLineChars="200"/>
        <w:rPr>
          <w:rFonts w:ascii="宋体" w:hAnsi="宋体"/>
          <w:b/>
          <w:sz w:val="21"/>
          <w:szCs w:val="21"/>
        </w:rPr>
      </w:pPr>
      <w:r>
        <w:rPr>
          <w:rFonts w:hint="eastAsia" w:ascii="宋体" w:hAnsi="宋体"/>
          <w:b/>
          <w:sz w:val="21"/>
          <w:szCs w:val="21"/>
        </w:rPr>
        <w:t>（十一）</w:t>
      </w:r>
      <w:r>
        <w:rPr>
          <w:rFonts w:ascii="宋体" w:hAnsi="宋体"/>
          <w:b/>
          <w:sz w:val="21"/>
          <w:szCs w:val="21"/>
        </w:rPr>
        <w:t>食品中毒及其预防</w:t>
      </w:r>
    </w:p>
    <w:p w14:paraId="20E5B7EE">
      <w:pPr>
        <w:spacing w:line="264" w:lineRule="auto"/>
        <w:ind w:firstLine="426" w:firstLineChars="200"/>
        <w:rPr>
          <w:rFonts w:ascii="宋体" w:hAnsi="宋体"/>
          <w:sz w:val="21"/>
          <w:szCs w:val="21"/>
        </w:rPr>
      </w:pPr>
      <w:r>
        <w:rPr>
          <w:rFonts w:ascii="宋体" w:hAnsi="宋体"/>
          <w:sz w:val="21"/>
          <w:szCs w:val="21"/>
        </w:rPr>
        <w:t>掌握食源性疾病、食物中毒的概念及发病的流行病学特点；细菌性食物中毒的各种病原菌的生物学特征，常见的污染食品，中毒的临床表现、诊断和预防原则；引起赤霉病麦、霉变甘蔗中毒的有毒成分、中毒的临床表现和防治措施。掌握引起河豚鱼中毒、组胺中毒、含氰甙类食物中毒的有害成分、常见的食品、中毒的临床表现和治疗措施；亚硝酸盐、砷、有机磷农药中毒临床表现和急救措施。</w:t>
      </w:r>
    </w:p>
    <w:p w14:paraId="2CE45F3A">
      <w:pPr>
        <w:spacing w:line="264" w:lineRule="auto"/>
        <w:ind w:firstLine="426" w:firstLineChars="200"/>
        <w:rPr>
          <w:rFonts w:hint="eastAsia" w:ascii="宋体" w:hAnsi="宋体"/>
          <w:b/>
          <w:sz w:val="21"/>
          <w:szCs w:val="21"/>
        </w:rPr>
      </w:pPr>
      <w:r>
        <w:rPr>
          <w:rFonts w:hint="eastAsia" w:ascii="宋体" w:hAnsi="宋体"/>
          <w:b/>
          <w:sz w:val="21"/>
          <w:szCs w:val="21"/>
        </w:rPr>
        <w:t>（十二）营养毒理学</w:t>
      </w:r>
    </w:p>
    <w:p w14:paraId="309DBB32">
      <w:pPr>
        <w:spacing w:line="264" w:lineRule="auto"/>
        <w:ind w:firstLine="426" w:firstLineChars="200"/>
        <w:rPr>
          <w:rFonts w:hint="eastAsia" w:ascii="宋体" w:hAnsi="宋体"/>
          <w:sz w:val="21"/>
          <w:szCs w:val="21"/>
        </w:rPr>
      </w:pPr>
      <w:r>
        <w:rPr>
          <w:rFonts w:hint="eastAsia" w:ascii="宋体" w:hAnsi="宋体"/>
          <w:sz w:val="21"/>
          <w:szCs w:val="21"/>
        </w:rPr>
        <w:t>营养毒理学的概念、</w:t>
      </w:r>
      <w:r>
        <w:rPr>
          <w:rFonts w:ascii="宋体" w:hAnsi="宋体"/>
          <w:sz w:val="21"/>
          <w:szCs w:val="21"/>
        </w:rPr>
        <w:t>营养对毒物的影响和毒物对营养的影响即营</w:t>
      </w:r>
      <w:r>
        <w:rPr>
          <w:rFonts w:hint="eastAsia" w:ascii="宋体" w:hAnsi="宋体"/>
          <w:sz w:val="21"/>
          <w:szCs w:val="21"/>
        </w:rPr>
        <w:t>养与毒物的相互作用等。</w:t>
      </w:r>
    </w:p>
    <w:p w14:paraId="0A451EA1">
      <w:pPr>
        <w:spacing w:line="264" w:lineRule="auto"/>
        <w:ind w:firstLine="426" w:firstLineChars="200"/>
        <w:rPr>
          <w:rFonts w:hint="eastAsia" w:ascii="宋体" w:hAnsi="宋体"/>
          <w:sz w:val="21"/>
          <w:szCs w:val="21"/>
        </w:rPr>
      </w:pPr>
      <w:r>
        <w:rPr>
          <w:rFonts w:hint="eastAsia" w:ascii="宋体" w:hAnsi="宋体"/>
          <w:b/>
          <w:sz w:val="21"/>
          <w:szCs w:val="21"/>
        </w:rPr>
        <w:t>（十三）食品安全及其评价体系</w:t>
      </w:r>
    </w:p>
    <w:p w14:paraId="22A6A45E">
      <w:pPr>
        <w:spacing w:line="264" w:lineRule="auto"/>
        <w:ind w:firstLine="426" w:firstLineChars="200"/>
        <w:rPr>
          <w:rFonts w:hint="eastAsia" w:ascii="宋体" w:hAnsi="宋体"/>
          <w:sz w:val="21"/>
          <w:szCs w:val="21"/>
        </w:rPr>
      </w:pPr>
      <w:r>
        <w:rPr>
          <w:rFonts w:hint="eastAsia" w:ascii="宋体" w:hAnsi="宋体"/>
          <w:sz w:val="21"/>
          <w:szCs w:val="21"/>
        </w:rPr>
        <w:t>掌握食品安全的概念、</w:t>
      </w:r>
      <w:r>
        <w:rPr>
          <w:rFonts w:ascii="宋体" w:hAnsi="宋体"/>
          <w:sz w:val="21"/>
          <w:szCs w:val="21"/>
        </w:rPr>
        <w:t>危险性分析的定义和组成</w:t>
      </w:r>
      <w:r>
        <w:rPr>
          <w:rFonts w:hint="eastAsia" w:ascii="宋体" w:hAnsi="宋体"/>
          <w:sz w:val="21"/>
          <w:szCs w:val="21"/>
        </w:rPr>
        <w:t>、</w:t>
      </w:r>
      <w:r>
        <w:rPr>
          <w:rFonts w:ascii="宋体" w:hAnsi="宋体"/>
          <w:sz w:val="21"/>
          <w:szCs w:val="21"/>
        </w:rPr>
        <w:t>国内外主要存在的食品安全问题</w:t>
      </w:r>
      <w:r>
        <w:rPr>
          <w:rFonts w:hint="eastAsia" w:ascii="宋体" w:hAnsi="宋体"/>
          <w:sz w:val="21"/>
          <w:szCs w:val="21"/>
        </w:rPr>
        <w:t>、食品安全性毒理学评价及我国食品安全性毒理学评价程序、进行食品安全性评价时需要考虑的因素。</w:t>
      </w:r>
    </w:p>
    <w:p w14:paraId="2C052A03">
      <w:pPr>
        <w:spacing w:line="264" w:lineRule="auto"/>
        <w:ind w:firstLine="426" w:firstLineChars="200"/>
        <w:rPr>
          <w:rFonts w:ascii="宋体" w:hAnsi="宋体"/>
          <w:sz w:val="21"/>
          <w:szCs w:val="21"/>
        </w:rPr>
      </w:pPr>
      <w:r>
        <w:rPr>
          <w:rFonts w:hint="eastAsia" w:ascii="宋体" w:hAnsi="宋体"/>
          <w:b/>
          <w:sz w:val="21"/>
          <w:szCs w:val="21"/>
        </w:rPr>
        <w:t>（</w:t>
      </w:r>
      <w:r>
        <w:rPr>
          <w:rFonts w:ascii="宋体" w:hAnsi="宋体"/>
          <w:b/>
          <w:sz w:val="21"/>
          <w:szCs w:val="21"/>
        </w:rPr>
        <w:t>十</w:t>
      </w:r>
      <w:r>
        <w:rPr>
          <w:rFonts w:hint="eastAsia" w:ascii="宋体" w:hAnsi="宋体"/>
          <w:b/>
          <w:sz w:val="21"/>
          <w:szCs w:val="21"/>
        </w:rPr>
        <w:t>四）</w:t>
      </w:r>
      <w:r>
        <w:rPr>
          <w:rFonts w:ascii="宋体" w:hAnsi="宋体"/>
          <w:b/>
          <w:sz w:val="21"/>
          <w:szCs w:val="21"/>
        </w:rPr>
        <w:t>章食品卫生监督管理</w:t>
      </w:r>
    </w:p>
    <w:p w14:paraId="2694B37D">
      <w:pPr>
        <w:spacing w:line="264" w:lineRule="auto"/>
        <w:ind w:firstLine="426" w:firstLineChars="200"/>
        <w:rPr>
          <w:rFonts w:ascii="宋体" w:hAnsi="宋体"/>
          <w:sz w:val="21"/>
          <w:szCs w:val="21"/>
        </w:rPr>
      </w:pPr>
      <w:r>
        <w:rPr>
          <w:rFonts w:ascii="宋体" w:hAnsi="宋体"/>
          <w:sz w:val="21"/>
          <w:szCs w:val="21"/>
        </w:rPr>
        <w:t>掌握食品卫生监督管理的概念及内容，食品卫生法律体系的构成、食品良好生产规范、危害分析关键控制点系统的概念；掌握食品市场、餐饮业的卫生管理内容。食物中有毒物质限量标准的制定程序。食品良好生产规范和危害分析关键控制点系统在国内外的应用概况。</w:t>
      </w:r>
    </w:p>
    <w:p w14:paraId="110DA8A5">
      <w:pPr>
        <w:spacing w:line="264" w:lineRule="auto"/>
        <w:rPr>
          <w:rFonts w:hint="eastAsia" w:ascii="宋体" w:hAnsi="宋体"/>
          <w:sz w:val="21"/>
          <w:szCs w:val="21"/>
        </w:rPr>
      </w:pPr>
    </w:p>
    <w:sectPr>
      <w:pgSz w:w="11907" w:h="16840"/>
      <w:pgMar w:top="1457" w:right="1780" w:bottom="1457" w:left="1780" w:header="720" w:footer="720" w:gutter="0"/>
      <w:cols w:space="720" w:num="1"/>
      <w:docGrid w:type="linesAndChars" w:linePitch="408" w:charSpace="8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2CA04"/>
    <w:multiLevelType w:val="singleLevel"/>
    <w:tmpl w:val="FEC2CA04"/>
    <w:lvl w:ilvl="0" w:tentative="0">
      <w:start w:val="2"/>
      <w:numFmt w:val="chineseCounting"/>
      <w:suff w:val="nothing"/>
      <w:lvlText w:val="%1、"/>
      <w:lvlJc w:val="left"/>
      <w:rPr>
        <w:rFonts w:hint="eastAsia"/>
      </w:rPr>
    </w:lvl>
  </w:abstractNum>
  <w:abstractNum w:abstractNumId="1">
    <w:nsid w:val="2A996229"/>
    <w:multiLevelType w:val="multilevel"/>
    <w:tmpl w:val="2A99622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169580A"/>
    <w:multiLevelType w:val="multilevel"/>
    <w:tmpl w:val="316958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8013B91"/>
    <w:multiLevelType w:val="multilevel"/>
    <w:tmpl w:val="38013B91"/>
    <w:lvl w:ilvl="0" w:tentative="0">
      <w:start w:val="1"/>
      <w:numFmt w:val="decimal"/>
      <w:lvlText w:val="%1、"/>
      <w:lvlJc w:val="left"/>
      <w:pPr>
        <w:tabs>
          <w:tab w:val="left" w:pos="435"/>
        </w:tabs>
        <w:ind w:left="435" w:hanging="43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8DE4B67"/>
    <w:multiLevelType w:val="multilevel"/>
    <w:tmpl w:val="38DE4B6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2310C6A"/>
    <w:multiLevelType w:val="multilevel"/>
    <w:tmpl w:val="42310C6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243"/>
  <w:drawingGridVerticalSpacing w:val="204"/>
  <w:displayHorizontalDrawingGridEvery w:val="1"/>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C369BF"/>
    <w:rsid w:val="002523EF"/>
    <w:rsid w:val="00263514"/>
    <w:rsid w:val="00265B5F"/>
    <w:rsid w:val="003072C6"/>
    <w:rsid w:val="003262C8"/>
    <w:rsid w:val="00350299"/>
    <w:rsid w:val="0038371C"/>
    <w:rsid w:val="003A0F9A"/>
    <w:rsid w:val="003D24DC"/>
    <w:rsid w:val="003F4C26"/>
    <w:rsid w:val="0047450C"/>
    <w:rsid w:val="00475E64"/>
    <w:rsid w:val="004D0DE8"/>
    <w:rsid w:val="004F7773"/>
    <w:rsid w:val="00533CDA"/>
    <w:rsid w:val="005466E2"/>
    <w:rsid w:val="00573042"/>
    <w:rsid w:val="0064708C"/>
    <w:rsid w:val="006551EE"/>
    <w:rsid w:val="006F6BA1"/>
    <w:rsid w:val="00702A64"/>
    <w:rsid w:val="007239F9"/>
    <w:rsid w:val="00747578"/>
    <w:rsid w:val="0079387A"/>
    <w:rsid w:val="007F3D11"/>
    <w:rsid w:val="00820CCA"/>
    <w:rsid w:val="008711EA"/>
    <w:rsid w:val="008840C6"/>
    <w:rsid w:val="00890B92"/>
    <w:rsid w:val="009306E4"/>
    <w:rsid w:val="009A413C"/>
    <w:rsid w:val="009B03D5"/>
    <w:rsid w:val="00A868E0"/>
    <w:rsid w:val="00A94D8F"/>
    <w:rsid w:val="00AD3476"/>
    <w:rsid w:val="00AF676A"/>
    <w:rsid w:val="00B21E7C"/>
    <w:rsid w:val="00B73317"/>
    <w:rsid w:val="00BA482F"/>
    <w:rsid w:val="00BD0AFF"/>
    <w:rsid w:val="00BD3D27"/>
    <w:rsid w:val="00C369BF"/>
    <w:rsid w:val="00C7703F"/>
    <w:rsid w:val="00C8444C"/>
    <w:rsid w:val="00CF0DDA"/>
    <w:rsid w:val="00D944AA"/>
    <w:rsid w:val="00DB5234"/>
    <w:rsid w:val="00DD3FFF"/>
    <w:rsid w:val="00E94F75"/>
    <w:rsid w:val="00F01E3D"/>
    <w:rsid w:val="00F142EA"/>
    <w:rsid w:val="00F25FF3"/>
    <w:rsid w:val="00F676AE"/>
    <w:rsid w:val="04145BEA"/>
    <w:rsid w:val="0B577271"/>
    <w:rsid w:val="0E315A52"/>
    <w:rsid w:val="24DE7080"/>
    <w:rsid w:val="28503F8E"/>
    <w:rsid w:val="74170D02"/>
    <w:rsid w:val="746053D4"/>
    <w:rsid w:val="7DBECCA9"/>
    <w:rsid w:val="7F4479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uiPriority w:val="0"/>
    <w:pPr>
      <w:ind w:firstLine="465"/>
    </w:pPr>
  </w:style>
  <w:style w:type="paragraph" w:styleId="3">
    <w:name w:val="Plain Text"/>
    <w:basedOn w:val="1"/>
    <w:uiPriority w:val="0"/>
    <w:rPr>
      <w:rFonts w:ascii="宋体" w:hAnsi="Courier New"/>
      <w:sz w:val="21"/>
    </w:rPr>
  </w:style>
  <w:style w:type="paragraph" w:styleId="4">
    <w:name w:val="Body Text Indent 2"/>
    <w:basedOn w:val="1"/>
    <w:uiPriority w:val="0"/>
    <w:pPr>
      <w:ind w:left="2" w:firstLine="4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8662</Words>
  <Characters>8729</Characters>
  <Lines>66</Lines>
  <Paragraphs>18</Paragraphs>
  <TotalTime>3.33333333333333</TotalTime>
  <ScaleCrop>false</ScaleCrop>
  <LinksUpToDate>false</LinksUpToDate>
  <CharactersWithSpaces>8803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2011-07-15T13:59:00Z</dcterms:created>
  <dc:creator>Jia Chongqi</dc:creator>
  <cp:lastModifiedBy>vertesyuan</cp:lastModifiedBy>
  <cp:lastPrinted>2001-06-06T09:19:00Z</cp:lastPrinted>
  <dcterms:modified xsi:type="dcterms:W3CDTF">2024-10-11T00:54:27Z</dcterms:modified>
  <dc:title>流行病学教学大纲（函大本科）</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0FAC27044DBD4B68A1659BEAE5D6DF1E_13</vt:lpwstr>
  </property>
</Properties>
</file>