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4B3C">
      <w:pPr>
        <w:jc w:val="center"/>
        <w:rPr>
          <w:rFonts w:hint="eastAsia"/>
          <w:lang w:eastAsia="zh-CN"/>
        </w:rPr>
      </w:pPr>
      <w:bookmarkStart w:id="1" w:name="_GoBack"/>
      <w:bookmarkEnd w:id="1"/>
    </w:p>
    <w:p w14:paraId="2FA6F544">
      <w:pPr>
        <w:jc w:val="center"/>
        <w:rPr>
          <w:rFonts w:hint="eastAsia"/>
          <w:lang w:eastAsia="zh-CN"/>
        </w:rPr>
      </w:pPr>
    </w:p>
    <w:p w14:paraId="64045DEE">
      <w:pPr>
        <w:jc w:val="center"/>
        <w:rPr>
          <w:rFonts w:hint="eastAsia"/>
          <w:lang w:eastAsia="zh-CN"/>
        </w:rPr>
      </w:pPr>
    </w:p>
    <w:p w14:paraId="6BCE2E19">
      <w:pPr>
        <w:jc w:val="center"/>
        <w:rPr>
          <w:rFonts w:hint="eastAsia"/>
          <w:lang w:eastAsia="zh-CN"/>
        </w:rPr>
      </w:pPr>
    </w:p>
    <w:p w14:paraId="3EE72336">
      <w:pPr>
        <w:jc w:val="center"/>
        <w:rPr>
          <w:rFonts w:hint="eastAsia"/>
          <w:lang w:eastAsia="zh-CN"/>
        </w:rPr>
      </w:pPr>
    </w:p>
    <w:p w14:paraId="3D865F5B">
      <w:pPr>
        <w:jc w:val="center"/>
        <w:rPr>
          <w:rFonts w:hint="eastAsia"/>
          <w:lang w:eastAsia="zh-CN"/>
        </w:rPr>
      </w:pPr>
    </w:p>
    <w:p w14:paraId="24E3928E">
      <w:pPr>
        <w:jc w:val="center"/>
        <w:rPr>
          <w:rFonts w:hint="eastAsia"/>
          <w:lang w:eastAsia="zh-CN"/>
        </w:rPr>
      </w:pPr>
    </w:p>
    <w:p w14:paraId="00B3AFA7">
      <w:pPr>
        <w:jc w:val="center"/>
        <w:rPr>
          <w:rFonts w:hint="eastAsia"/>
          <w:lang w:eastAsia="zh-CN"/>
        </w:rPr>
      </w:pPr>
    </w:p>
    <w:p w14:paraId="5D7D18E6">
      <w:pPr>
        <w:jc w:val="center"/>
        <w:rPr>
          <w:rFonts w:hint="eastAsia"/>
          <w:lang w:eastAsia="zh-CN"/>
        </w:rPr>
      </w:pPr>
    </w:p>
    <w:p w14:paraId="3D25F23F">
      <w:pPr>
        <w:jc w:val="center"/>
        <w:rPr>
          <w:rFonts w:hint="eastAsia"/>
          <w:lang w:eastAsia="zh-CN"/>
        </w:rPr>
      </w:pPr>
    </w:p>
    <w:p w14:paraId="429C4136">
      <w:pPr>
        <w:jc w:val="center"/>
        <w:rPr>
          <w:rFonts w:hint="eastAsia"/>
          <w:lang w:eastAsia="zh-CN"/>
        </w:rPr>
      </w:pPr>
    </w:p>
    <w:p w14:paraId="5E1A8B20">
      <w:pPr>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14:paraId="5EC3A2F9">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硕士研究生招生考试</w:t>
      </w:r>
    </w:p>
    <w:p w14:paraId="3574AA57">
      <w:pPr>
        <w:jc w:val="center"/>
        <w:rPr>
          <w:rFonts w:hint="eastAsia" w:ascii="黑体" w:hAnsi="华文中宋" w:eastAsia="黑体"/>
          <w:b/>
          <w:sz w:val="52"/>
          <w:szCs w:val="52"/>
          <w:lang w:eastAsia="zh-CN"/>
        </w:rPr>
      </w:pPr>
      <w:r>
        <w:rPr>
          <w:rFonts w:hint="eastAsia" w:ascii="黑体" w:hAnsi="华文中宋" w:eastAsia="黑体"/>
          <w:b/>
          <w:sz w:val="52"/>
          <w:szCs w:val="52"/>
          <w:lang w:eastAsia="zh-CN"/>
        </w:rPr>
        <w:t>《</w:t>
      </w:r>
      <w:r>
        <w:rPr>
          <w:rFonts w:hint="eastAsia" w:ascii="黑体" w:eastAsia="黑体"/>
          <w:sz w:val="52"/>
          <w:szCs w:val="52"/>
          <w:lang w:eastAsia="zh-CN"/>
        </w:rPr>
        <w:t>金融学综合</w:t>
      </w:r>
      <w:r>
        <w:rPr>
          <w:rFonts w:hint="eastAsia" w:ascii="黑体" w:hAnsi="华文中宋" w:eastAsia="黑体"/>
          <w:b/>
          <w:sz w:val="52"/>
          <w:szCs w:val="52"/>
          <w:lang w:eastAsia="zh-CN"/>
        </w:rPr>
        <w:t>》科目大纲</w:t>
      </w:r>
    </w:p>
    <w:p w14:paraId="3869CA47">
      <w:pPr>
        <w:jc w:val="center"/>
        <w:rPr>
          <w:rFonts w:hint="eastAsia" w:ascii="黑体" w:hAnsi="宋体" w:eastAsia="黑体"/>
          <w:sz w:val="30"/>
          <w:szCs w:val="30"/>
          <w:lang w:eastAsia="zh-CN"/>
        </w:rPr>
      </w:pPr>
      <w:r>
        <w:rPr>
          <w:rFonts w:hint="eastAsia" w:ascii="黑体" w:hAnsi="宋体" w:eastAsia="黑体"/>
          <w:b/>
          <w:sz w:val="48"/>
          <w:szCs w:val="48"/>
          <w:lang w:eastAsia="zh-CN"/>
        </w:rPr>
        <w:t xml:space="preserve"> </w:t>
      </w:r>
      <w:r>
        <w:rPr>
          <w:rFonts w:hint="eastAsia" w:ascii="黑体" w:hAnsi="宋体" w:eastAsia="黑体"/>
          <w:sz w:val="30"/>
          <w:szCs w:val="30"/>
          <w:lang w:eastAsia="zh-CN"/>
        </w:rPr>
        <w:t xml:space="preserve">(科目代码：431 ) </w:t>
      </w:r>
    </w:p>
    <w:p w14:paraId="2C12E34C">
      <w:pPr>
        <w:spacing w:line="460" w:lineRule="exact"/>
        <w:rPr>
          <w:rFonts w:hint="eastAsia" w:ascii="宋体" w:hAnsi="宋体"/>
          <w:sz w:val="24"/>
          <w:lang w:eastAsia="zh-CN"/>
        </w:rPr>
      </w:pPr>
    </w:p>
    <w:p w14:paraId="3F5669CD">
      <w:pPr>
        <w:spacing w:line="460" w:lineRule="exact"/>
        <w:rPr>
          <w:rFonts w:hint="eastAsia" w:ascii="宋体" w:hAnsi="宋体"/>
          <w:sz w:val="24"/>
          <w:lang w:eastAsia="zh-CN"/>
        </w:rPr>
      </w:pPr>
    </w:p>
    <w:p w14:paraId="37880770">
      <w:pPr>
        <w:spacing w:line="460" w:lineRule="exact"/>
        <w:rPr>
          <w:rFonts w:hint="eastAsia" w:ascii="宋体" w:hAnsi="宋体"/>
          <w:sz w:val="24"/>
          <w:lang w:eastAsia="zh-CN"/>
        </w:rPr>
      </w:pPr>
    </w:p>
    <w:p w14:paraId="3FCD16F4">
      <w:pPr>
        <w:spacing w:line="460" w:lineRule="exact"/>
        <w:rPr>
          <w:rFonts w:hint="eastAsia" w:ascii="宋体" w:hAnsi="宋体"/>
          <w:sz w:val="24"/>
          <w:lang w:eastAsia="zh-CN"/>
        </w:rPr>
      </w:pPr>
    </w:p>
    <w:p w14:paraId="7B5CC503">
      <w:pPr>
        <w:spacing w:line="460" w:lineRule="exact"/>
        <w:rPr>
          <w:rFonts w:hint="eastAsia" w:ascii="宋体" w:hAnsi="宋体"/>
          <w:sz w:val="24"/>
          <w:lang w:eastAsia="zh-CN"/>
        </w:rPr>
      </w:pPr>
    </w:p>
    <w:p w14:paraId="3E5ACFDB">
      <w:pPr>
        <w:spacing w:line="460" w:lineRule="exact"/>
        <w:rPr>
          <w:rFonts w:hint="eastAsia" w:ascii="宋体" w:hAnsi="宋体"/>
          <w:sz w:val="24"/>
          <w:lang w:eastAsia="zh-CN"/>
        </w:rPr>
      </w:pPr>
    </w:p>
    <w:p w14:paraId="1476B91A">
      <w:pPr>
        <w:spacing w:line="460" w:lineRule="exact"/>
        <w:rPr>
          <w:rFonts w:hint="eastAsia" w:ascii="宋体" w:hAnsi="宋体"/>
          <w:sz w:val="24"/>
          <w:lang w:eastAsia="zh-CN"/>
        </w:rPr>
      </w:pPr>
    </w:p>
    <w:p w14:paraId="70DA4792">
      <w:pPr>
        <w:spacing w:line="800" w:lineRule="exact"/>
        <w:ind w:firstLine="1619" w:firstLineChars="506"/>
        <w:rPr>
          <w:rFonts w:hint="eastAsia" w:ascii="仿宋_GB2312" w:hAnsi="宋体" w:eastAsia="仿宋_GB2312"/>
          <w:sz w:val="32"/>
          <w:szCs w:val="32"/>
          <w:lang w:eastAsia="zh-CN"/>
        </w:rPr>
      </w:pPr>
      <w:r>
        <w:rPr>
          <w:rFonts w:hint="eastAsia" w:ascii="仿宋_GB2312" w:hAnsi="宋体" w:eastAsia="仿宋_GB2312"/>
          <w:sz w:val="32"/>
          <w:szCs w:val="32"/>
          <w:lang w:eastAsia="zh-CN"/>
        </w:rPr>
        <w:t>学院名称(盖章)：</w:t>
      </w:r>
      <w:r>
        <w:rPr>
          <w:rFonts w:hint="eastAsia" w:ascii="仿宋_GB2312" w:hAnsi="宋体" w:eastAsia="仿宋_GB2312"/>
          <w:sz w:val="32"/>
          <w:szCs w:val="32"/>
          <w:u w:val="single"/>
          <w:lang w:eastAsia="zh-CN"/>
        </w:rPr>
        <w:t xml:space="preserve">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 经 济 学 院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  </w:t>
      </w:r>
      <w:r>
        <w:rPr>
          <w:rFonts w:ascii="仿宋_GB2312" w:hAnsi="宋体" w:eastAsia="仿宋_GB2312"/>
          <w:sz w:val="32"/>
          <w:szCs w:val="32"/>
          <w:u w:val="single"/>
          <w:lang w:eastAsia="zh-CN"/>
        </w:rPr>
        <w:t xml:space="preserve">    </w:t>
      </w:r>
      <w:r>
        <w:rPr>
          <w:rFonts w:hint="eastAsia" w:ascii="仿宋_GB2312" w:hAnsi="宋体" w:eastAsia="仿宋_GB2312"/>
          <w:color w:val="FFFFFF"/>
          <w:sz w:val="32"/>
          <w:szCs w:val="32"/>
          <w:u w:val="single"/>
          <w:lang w:eastAsia="zh-CN"/>
        </w:rPr>
        <w:t>院</w:t>
      </w:r>
    </w:p>
    <w:p w14:paraId="1AE89037">
      <w:pPr>
        <w:spacing w:line="800" w:lineRule="exact"/>
        <w:ind w:firstLine="1635" w:firstLineChars="568"/>
        <w:rPr>
          <w:rFonts w:hint="eastAsia" w:ascii="仿宋_GB2312" w:hAnsi="宋体" w:eastAsia="仿宋_GB2312"/>
          <w:w w:val="90"/>
          <w:sz w:val="32"/>
          <w:szCs w:val="32"/>
          <w:u w:val="thick"/>
          <w:lang w:eastAsia="zh-CN"/>
        </w:rPr>
      </w:pPr>
      <w:r>
        <w:rPr>
          <w:rFonts w:hint="eastAsia" w:ascii="仿宋_GB2312" w:hAnsi="宋体" w:eastAsia="仿宋_GB2312"/>
          <w:w w:val="90"/>
          <w:sz w:val="32"/>
          <w:szCs w:val="32"/>
          <w:lang w:eastAsia="zh-CN"/>
        </w:rPr>
        <w:t>学院负责人(签字)：</w:t>
      </w:r>
      <w:r>
        <w:rPr>
          <w:rFonts w:ascii="仿宋_GB2312" w:hAnsi="宋体" w:eastAsia="仿宋_GB2312"/>
          <w:w w:val="90"/>
          <w:sz w:val="32"/>
          <w:szCs w:val="32"/>
          <w:u w:val="single"/>
          <w:lang w:eastAsia="zh-CN"/>
        </w:rPr>
        <w:t xml:space="preserve">                             </w:t>
      </w:r>
      <w:r>
        <w:rPr>
          <w:rFonts w:ascii="仿宋_GB2312" w:hAnsi="宋体" w:eastAsia="仿宋_GB2312"/>
          <w:color w:val="FFFFFF"/>
          <w:w w:val="90"/>
          <w:sz w:val="32"/>
          <w:szCs w:val="32"/>
          <w:u w:val="thick"/>
          <w:lang w:eastAsia="zh-CN"/>
        </w:rPr>
        <w:t>的</w:t>
      </w:r>
      <w:r>
        <w:rPr>
          <w:rFonts w:hint="eastAsia" w:ascii="仿宋_GB2312" w:hAnsi="宋体" w:eastAsia="仿宋_GB2312"/>
          <w:w w:val="90"/>
          <w:sz w:val="32"/>
          <w:szCs w:val="32"/>
          <w:u w:val="thick"/>
          <w:lang w:eastAsia="zh-CN"/>
        </w:rPr>
        <w:t xml:space="preserve"> </w:t>
      </w:r>
    </w:p>
    <w:p w14:paraId="51944EA4">
      <w:pPr>
        <w:spacing w:line="800" w:lineRule="exact"/>
        <w:ind w:firstLine="1600" w:firstLineChars="500"/>
        <w:rPr>
          <w:rFonts w:hint="eastAsia" w:ascii="仿宋_GB2312" w:hAnsi="宋体" w:eastAsia="仿宋_GB2312"/>
          <w:w w:val="90"/>
          <w:sz w:val="32"/>
          <w:szCs w:val="32"/>
          <w:u w:val="single"/>
          <w:lang w:eastAsia="zh-CN"/>
        </w:rPr>
      </w:pPr>
      <w:r>
        <w:rPr>
          <w:rFonts w:hint="eastAsia" w:ascii="仿宋_GB2312" w:hAnsi="宋体" w:eastAsia="仿宋_GB2312"/>
          <w:sz w:val="32"/>
          <w:szCs w:val="32"/>
          <w:lang w:eastAsia="zh-CN"/>
        </w:rPr>
        <w:t>编  制  时  间：</w:t>
      </w:r>
      <w:r>
        <w:rPr>
          <w:rFonts w:hint="eastAsia" w:ascii="仿宋_GB2312" w:hAnsi="宋体" w:eastAsia="仿宋_GB2312"/>
          <w:sz w:val="32"/>
          <w:szCs w:val="32"/>
          <w:u w:val="single"/>
          <w:lang w:eastAsia="zh-CN"/>
        </w:rPr>
        <w:t xml:space="preserve">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2024  年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6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月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20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 xml:space="preserve">日  </w:t>
      </w:r>
      <w:r>
        <w:rPr>
          <w:rFonts w:hint="eastAsia" w:ascii="仿宋_GB2312" w:hAnsi="宋体" w:eastAsia="仿宋_GB2312"/>
          <w:color w:val="FFFFFF"/>
          <w:sz w:val="32"/>
          <w:szCs w:val="32"/>
          <w:u w:val="single"/>
          <w:lang w:eastAsia="zh-CN"/>
        </w:rPr>
        <w:t>个</w:t>
      </w:r>
    </w:p>
    <w:p w14:paraId="67965261">
      <w:pPr>
        <w:ind w:firstLine="2280" w:firstLineChars="950"/>
        <w:rPr>
          <w:rFonts w:hint="eastAsia" w:ascii="宋体" w:hAnsi="宋体"/>
          <w:sz w:val="24"/>
          <w:lang w:eastAsia="zh-CN"/>
        </w:rPr>
      </w:pPr>
    </w:p>
    <w:p w14:paraId="13C27906">
      <w:pPr>
        <w:spacing w:line="360" w:lineRule="auto"/>
        <w:ind w:firstLine="954" w:firstLineChars="396"/>
        <w:rPr>
          <w:rFonts w:hint="eastAsia" w:ascii="Cambria" w:hAnsi="Cambria"/>
          <w:b/>
          <w:sz w:val="24"/>
          <w:szCs w:val="24"/>
          <w:lang w:eastAsia="zh-CN"/>
        </w:rPr>
      </w:pPr>
    </w:p>
    <w:p w14:paraId="7C1FA4A4">
      <w:pPr>
        <w:spacing w:line="360" w:lineRule="auto"/>
        <w:ind w:firstLine="954" w:firstLineChars="396"/>
        <w:rPr>
          <w:rFonts w:hint="eastAsia" w:ascii="Cambria" w:hAnsi="Cambria"/>
          <w:b/>
          <w:sz w:val="24"/>
          <w:szCs w:val="24"/>
          <w:lang w:eastAsia="zh-CN"/>
        </w:rPr>
      </w:pPr>
    </w:p>
    <w:p w14:paraId="100F086E">
      <w:pPr>
        <w:spacing w:line="360" w:lineRule="auto"/>
        <w:ind w:firstLine="954" w:firstLineChars="396"/>
        <w:rPr>
          <w:rFonts w:hint="eastAsia" w:ascii="Cambria" w:hAnsi="Cambria"/>
          <w:b/>
          <w:sz w:val="24"/>
          <w:szCs w:val="24"/>
          <w:lang w:eastAsia="zh-CN"/>
        </w:rPr>
      </w:pPr>
    </w:p>
    <w:p w14:paraId="58AF260D">
      <w:pPr>
        <w:spacing w:line="360" w:lineRule="auto"/>
        <w:ind w:firstLine="954" w:firstLineChars="396"/>
        <w:rPr>
          <w:rFonts w:hint="eastAsia" w:ascii="Cambria" w:hAnsi="Cambria"/>
          <w:b/>
          <w:sz w:val="24"/>
          <w:szCs w:val="24"/>
          <w:lang w:eastAsia="zh-CN"/>
        </w:rPr>
      </w:pPr>
    </w:p>
    <w:p w14:paraId="2EA07D82">
      <w:pPr>
        <w:spacing w:line="360" w:lineRule="auto"/>
        <w:ind w:firstLine="954" w:firstLineChars="396"/>
        <w:rPr>
          <w:rFonts w:hint="eastAsia" w:ascii="Cambria" w:hAnsi="Cambria"/>
          <w:b/>
          <w:sz w:val="24"/>
          <w:szCs w:val="24"/>
          <w:lang w:eastAsia="zh-CN"/>
        </w:rPr>
      </w:pPr>
    </w:p>
    <w:p w14:paraId="04E4AE8B">
      <w:pPr>
        <w:spacing w:line="360" w:lineRule="auto"/>
        <w:ind w:firstLine="954" w:firstLineChars="396"/>
        <w:rPr>
          <w:rFonts w:hint="eastAsia" w:ascii="Cambria" w:hAnsi="Cambria"/>
          <w:b/>
          <w:sz w:val="24"/>
          <w:szCs w:val="24"/>
          <w:lang w:eastAsia="zh-CN"/>
        </w:rPr>
      </w:pPr>
    </w:p>
    <w:p w14:paraId="54728339">
      <w:pPr>
        <w:ind w:firstLine="656" w:firstLineChars="205"/>
        <w:jc w:val="center"/>
        <w:rPr>
          <w:rFonts w:hint="eastAsia" w:ascii="黑体" w:hAnsi="宋体" w:eastAsia="黑体" w:cs="宋体"/>
          <w:sz w:val="32"/>
          <w:szCs w:val="32"/>
          <w:lang w:eastAsia="zh-CN"/>
        </w:rPr>
      </w:pPr>
      <w:r>
        <w:rPr>
          <w:rFonts w:hint="eastAsia" w:ascii="黑体" w:hAnsi="宋体" w:eastAsia="黑体" w:cs="宋体"/>
          <w:sz w:val="32"/>
          <w:szCs w:val="32"/>
          <w:lang w:eastAsia="zh-CN"/>
        </w:rPr>
        <w:t>《金融学综合》科目大纲</w:t>
      </w:r>
    </w:p>
    <w:p w14:paraId="52CA4259">
      <w:pPr>
        <w:ind w:firstLine="656" w:firstLineChars="205"/>
        <w:jc w:val="center"/>
        <w:rPr>
          <w:rFonts w:hint="eastAsia" w:ascii="黑体" w:hAnsi="宋体" w:eastAsia="黑体" w:cs="宋体"/>
          <w:sz w:val="32"/>
          <w:szCs w:val="32"/>
          <w:lang w:eastAsia="zh-CN"/>
        </w:rPr>
      </w:pPr>
      <w:r>
        <w:rPr>
          <w:rFonts w:hint="eastAsia" w:ascii="黑体" w:hAnsi="宋体" w:eastAsia="黑体" w:cs="宋体"/>
          <w:sz w:val="32"/>
          <w:szCs w:val="32"/>
          <w:lang w:eastAsia="zh-CN"/>
        </w:rPr>
        <w:t>（科目代码431）</w:t>
      </w:r>
    </w:p>
    <w:p w14:paraId="2E3AD2F6">
      <w:pPr>
        <w:ind w:firstLine="656" w:firstLineChars="205"/>
        <w:jc w:val="center"/>
        <w:rPr>
          <w:rFonts w:hint="eastAsia" w:ascii="黑体" w:hAnsi="宋体" w:eastAsia="黑体" w:cs="宋体"/>
          <w:sz w:val="32"/>
          <w:szCs w:val="32"/>
          <w:lang w:eastAsia="zh-CN"/>
        </w:rPr>
      </w:pPr>
    </w:p>
    <w:p w14:paraId="2DCD7E70">
      <w:pPr>
        <w:widowControl w:val="0"/>
        <w:jc w:val="center"/>
        <w:rPr>
          <w:rFonts w:hint="eastAsia" w:ascii="黑体" w:hAnsi="Times New Roman" w:eastAsia="黑体"/>
          <w:kern w:val="2"/>
          <w:sz w:val="32"/>
          <w:szCs w:val="32"/>
          <w:lang w:val="en-US" w:eastAsia="zh-CN"/>
        </w:rPr>
      </w:pPr>
      <w:r>
        <w:rPr>
          <w:rFonts w:hint="eastAsia" w:ascii="黑体" w:hAnsi="Times New Roman" w:eastAsia="黑体"/>
          <w:kern w:val="2"/>
          <w:sz w:val="32"/>
          <w:szCs w:val="32"/>
          <w:lang w:val="en-US" w:eastAsia="zh-CN"/>
        </w:rPr>
        <w:t>一、考核要求</w:t>
      </w:r>
    </w:p>
    <w:p w14:paraId="6263AA15">
      <w:pPr>
        <w:ind w:firstLine="420" w:firstLineChars="200"/>
        <w:rPr>
          <w:rFonts w:ascii="仿宋_GB2312" w:hAnsi="宋体" w:eastAsia="仿宋_GB2312" w:cs="宋体"/>
          <w:sz w:val="21"/>
          <w:szCs w:val="21"/>
          <w:lang w:eastAsia="zh-CN"/>
        </w:rPr>
      </w:pPr>
      <w:r>
        <w:rPr>
          <w:rFonts w:hint="eastAsia" w:ascii="仿宋_GB2312" w:hAnsi="宋体" w:eastAsia="仿宋_GB2312" w:cs="宋体"/>
          <w:sz w:val="21"/>
          <w:szCs w:val="21"/>
          <w:lang w:eastAsia="zh-CN"/>
        </w:rPr>
        <w:t>《金融学综合》是金融硕士（</w:t>
      </w:r>
      <w:r>
        <w:rPr>
          <w:rFonts w:hint="eastAsia" w:ascii="仿宋_GB2312" w:hAnsi="Cambria" w:eastAsia="仿宋_GB2312"/>
          <w:sz w:val="21"/>
          <w:szCs w:val="21"/>
          <w:lang w:eastAsia="zh-CN"/>
        </w:rPr>
        <w:t>MF</w:t>
      </w:r>
      <w:r>
        <w:rPr>
          <w:rFonts w:hint="eastAsia" w:ascii="仿宋_GB2312" w:hAnsi="宋体" w:eastAsia="仿宋_GB2312" w:cs="宋体"/>
          <w:sz w:val="21"/>
          <w:szCs w:val="21"/>
          <w:lang w:eastAsia="zh-CN"/>
        </w:rPr>
        <w:t>）专业学位研究生入学统一考试的科目之一。《金融学综合》考试要力求反映金融硕士专业学位的特点，科学、公平、准确、规范地测评考生的基本素质和综合能力，选拔具有发展潜力的优秀人才入学，为国家的经济建设培养具有良好职业道德、具有较强分析与解决实际问题能力的高层次、应用型、复合型的金融专业人才。</w:t>
      </w:r>
    </w:p>
    <w:p w14:paraId="01330CF0">
      <w:pPr>
        <w:spacing w:line="360" w:lineRule="auto"/>
        <w:ind w:firstLine="420" w:firstLineChars="200"/>
        <w:rPr>
          <w:rFonts w:hint="eastAsia" w:ascii="仿宋_GB2312" w:hAnsi="宋体" w:eastAsia="仿宋_GB2312" w:cs="宋体"/>
          <w:sz w:val="21"/>
          <w:szCs w:val="21"/>
          <w:lang w:eastAsia="zh-CN"/>
        </w:rPr>
      </w:pPr>
    </w:p>
    <w:p w14:paraId="653E323A">
      <w:pPr>
        <w:widowControl w:val="0"/>
        <w:jc w:val="center"/>
        <w:rPr>
          <w:rFonts w:hint="eastAsia" w:ascii="黑体" w:hAnsi="Times New Roman" w:eastAsia="黑体"/>
          <w:kern w:val="2"/>
          <w:sz w:val="32"/>
          <w:szCs w:val="32"/>
          <w:lang w:val="en-US" w:eastAsia="zh-CN"/>
        </w:rPr>
      </w:pPr>
      <w:r>
        <w:rPr>
          <w:rFonts w:hint="eastAsia" w:ascii="黑体" w:hAnsi="Times New Roman" w:eastAsia="黑体"/>
          <w:kern w:val="2"/>
          <w:sz w:val="32"/>
          <w:szCs w:val="32"/>
          <w:lang w:val="en-US" w:eastAsia="zh-CN"/>
        </w:rPr>
        <w:t>二、考核评价目标</w:t>
      </w:r>
    </w:p>
    <w:p w14:paraId="03F2433C">
      <w:pPr>
        <w:ind w:firstLine="420" w:firstLineChars="200"/>
        <w:rPr>
          <w:rFonts w:ascii="仿宋_GB2312" w:hAnsi="宋体" w:eastAsia="仿宋_GB2312" w:cs="宋体"/>
          <w:sz w:val="21"/>
          <w:szCs w:val="21"/>
          <w:lang w:eastAsia="zh-CN"/>
        </w:rPr>
      </w:pPr>
      <w:r>
        <w:rPr>
          <w:rFonts w:hint="eastAsia" w:ascii="仿宋_GB2312" w:hAnsi="宋体" w:eastAsia="仿宋_GB2312" w:cs="宋体"/>
          <w:sz w:val="21"/>
          <w:szCs w:val="21"/>
          <w:lang w:eastAsia="zh-CN"/>
        </w:rPr>
        <w:t>测试考生对于金融学和公司金融相关的基本概念和基础理论的掌握程度及运用能力。考试形式为闭卷笔试考试。试卷满分150分，其中，金融学部分为90 分，公司金融部分为60 分。培养单位自行命题，全国统一考试。</w:t>
      </w:r>
    </w:p>
    <w:p w14:paraId="37959341">
      <w:pPr>
        <w:spacing w:line="360" w:lineRule="auto"/>
        <w:ind w:firstLine="420" w:firstLineChars="200"/>
        <w:rPr>
          <w:rFonts w:hint="eastAsia" w:ascii="仿宋_GB2312" w:hAnsi="Cambria" w:eastAsia="仿宋_GB2312"/>
          <w:sz w:val="21"/>
          <w:szCs w:val="21"/>
          <w:lang w:eastAsia="zh-CN"/>
        </w:rPr>
      </w:pPr>
    </w:p>
    <w:p w14:paraId="02C8F98A">
      <w:pPr>
        <w:widowControl w:val="0"/>
        <w:jc w:val="center"/>
        <w:rPr>
          <w:rFonts w:hint="eastAsia" w:ascii="黑体" w:hAnsi="Times New Roman" w:eastAsia="黑体"/>
          <w:kern w:val="2"/>
          <w:sz w:val="32"/>
          <w:szCs w:val="32"/>
          <w:lang w:val="en-US" w:eastAsia="zh-CN"/>
        </w:rPr>
      </w:pPr>
      <w:r>
        <w:rPr>
          <w:rFonts w:hint="eastAsia" w:ascii="黑体" w:hAnsi="Times New Roman" w:eastAsia="黑体"/>
          <w:kern w:val="2"/>
          <w:sz w:val="32"/>
          <w:szCs w:val="32"/>
          <w:lang w:val="en-US" w:eastAsia="zh-CN"/>
        </w:rPr>
        <w:t>三、考核内容</w:t>
      </w:r>
    </w:p>
    <w:p w14:paraId="4A7862D8">
      <w:pPr>
        <w:ind w:firstLine="422" w:firstLineChars="200"/>
        <w:rPr>
          <w:rFonts w:hint="eastAsia" w:ascii="仿宋_GB2312" w:hAnsi="宋体" w:eastAsia="仿宋_GB2312"/>
          <w:b/>
          <w:sz w:val="21"/>
          <w:szCs w:val="21"/>
          <w:lang w:eastAsia="zh-CN"/>
        </w:rPr>
      </w:pPr>
      <w:r>
        <w:rPr>
          <w:rFonts w:hint="eastAsia" w:ascii="仿宋_GB2312" w:hAnsi="宋体" w:eastAsia="仿宋_GB2312"/>
          <w:b/>
          <w:sz w:val="21"/>
          <w:szCs w:val="21"/>
          <w:lang w:eastAsia="zh-CN"/>
        </w:rPr>
        <w:t>第一部分  金融学</w:t>
      </w:r>
    </w:p>
    <w:p w14:paraId="5275FC3B">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一、货币与货币制度</w:t>
      </w:r>
    </w:p>
    <w:p w14:paraId="63077152">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1.货币的本质及其形态的演变</w:t>
      </w:r>
    </w:p>
    <w:p w14:paraId="74C3B8C4">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2.货币的职能</w:t>
      </w:r>
    </w:p>
    <w:p w14:paraId="22C72BE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3.货币制度</w:t>
      </w:r>
    </w:p>
    <w:p w14:paraId="07E6605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 xml:space="preserve">（1）国家货币制度的含义、内容、历史演变（2）国际货币制度及其演变 </w:t>
      </w:r>
    </w:p>
    <w:p w14:paraId="63C7930E">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 xml:space="preserve">二、外汇与汇率制度 </w:t>
      </w:r>
    </w:p>
    <w:p w14:paraId="7FEFD26F">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1．外汇的概念及特征</w:t>
      </w:r>
    </w:p>
    <w:p w14:paraId="3EA7D009">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2．汇率及其决定理论</w:t>
      </w:r>
    </w:p>
    <w:p w14:paraId="2B29D0DD">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3．汇率制度</w:t>
      </w:r>
    </w:p>
    <w:p w14:paraId="1345621D">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三、信用</w:t>
      </w:r>
    </w:p>
    <w:p w14:paraId="17ABAFE4">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1.信用的产生与发展</w:t>
      </w:r>
    </w:p>
    <w:p w14:paraId="4DE61E0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2.现代信用活动的基础</w:t>
      </w:r>
    </w:p>
    <w:p w14:paraId="56443410">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3.信用的形式</w:t>
      </w:r>
    </w:p>
    <w:p w14:paraId="277FE3C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（1）商业信用 （2）银行信用 （3）国家信用 （4）消费信用 （5）国际信用</w:t>
      </w:r>
    </w:p>
    <w:p w14:paraId="1C6719E6">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四、利息与利息率</w:t>
      </w:r>
    </w:p>
    <w:p w14:paraId="4A9CC83C">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1.货币的时间价值与利息</w:t>
      </w:r>
    </w:p>
    <w:p w14:paraId="60BEC01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（1）货币的时间价值、单利和复利、终值和现值 （2）利息的实质 （3）利息与收益的一般形态</w:t>
      </w:r>
    </w:p>
    <w:p w14:paraId="7D7CB961">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2.利率的分类</w:t>
      </w:r>
    </w:p>
    <w:p w14:paraId="69FF6313">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3.利率与收益率</w:t>
      </w:r>
    </w:p>
    <w:p w14:paraId="11D84C35">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（1）收益率的计算 （2）到期收益率和持有期收益率</w:t>
      </w:r>
    </w:p>
    <w:p w14:paraId="07D42E4E">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4.利率的决定理论、利率的风险结构和期限结构</w:t>
      </w:r>
    </w:p>
    <w:p w14:paraId="19C18DB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五、金融市场与金融工具</w:t>
      </w:r>
    </w:p>
    <w:p w14:paraId="0B20F5D5">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1.金融市场</w:t>
      </w:r>
    </w:p>
    <w:p w14:paraId="458CF55E">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（1）金融市场及其构成要素 （2）金融市场的种类、各子市场的功能及特点</w:t>
      </w:r>
    </w:p>
    <w:p w14:paraId="7325AAC3">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2.金融工具</w:t>
      </w:r>
    </w:p>
    <w:p w14:paraId="6FEDC9E2">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（1）金融工具与金融资产 （2）金融工具的特征、种类 （3）金融资产的风险与收益（4）金融资产的价格及定价方法 （5）金融资产价格与利率、汇率的关系</w:t>
      </w:r>
    </w:p>
    <w:p w14:paraId="3042FF2F">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3.货币市场</w:t>
      </w:r>
    </w:p>
    <w:p w14:paraId="3684E5E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（1）票据市场 （2）国库券市场 （3）大额可转让定期存单市场 （4）回购协议市场 （5）银行间拆借市场</w:t>
      </w:r>
    </w:p>
    <w:p w14:paraId="6DE673B5">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 xml:space="preserve">4．资本市场 </w:t>
      </w:r>
    </w:p>
    <w:p w14:paraId="1BA5378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（1）发行市场 （2）流通市场 （3）资本市场的投资分析</w:t>
      </w:r>
    </w:p>
    <w:p w14:paraId="38FA48B0">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5．衍生工具市场</w:t>
      </w:r>
    </w:p>
    <w:p w14:paraId="165BBD5C">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（1）衍生工具的含义、特点、分类 （2）衍生工具市场与交易（3）衍生工具的定价</w:t>
      </w:r>
    </w:p>
    <w:p w14:paraId="355E82C4">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六、金融机构体系</w:t>
      </w:r>
    </w:p>
    <w:p w14:paraId="7AFD4844">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1.金融机构的产生与功能</w:t>
      </w:r>
    </w:p>
    <w:p w14:paraId="6EDAFF8A">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2.金融机构体系的一般构成与发展</w:t>
      </w:r>
    </w:p>
    <w:p w14:paraId="4D7C0559">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3.国际金融机构体系</w:t>
      </w:r>
    </w:p>
    <w:p w14:paraId="7A455051">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七、商业银行</w:t>
      </w:r>
    </w:p>
    <w:p w14:paraId="628BB581">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1.商业银行的职能</w:t>
      </w:r>
    </w:p>
    <w:p w14:paraId="38EEFAD9">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2.商业银行的组织形式</w:t>
      </w:r>
    </w:p>
    <w:p w14:paraId="220B956C">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3.商业银行的业务</w:t>
      </w:r>
    </w:p>
    <w:p w14:paraId="6DCA0B62">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（1）负债业务（2）资产业务（3）中间业务和表外业务</w:t>
      </w:r>
    </w:p>
    <w:p w14:paraId="4151B73C">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 xml:space="preserve">4.商业银行的经营管理 </w:t>
      </w:r>
    </w:p>
    <w:p w14:paraId="62EC97BE">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（1）商业银行的经营原则 （2）商业银行经营管理理论的演变</w:t>
      </w:r>
    </w:p>
    <w:p w14:paraId="43E9F9EB">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八、中央银行</w:t>
      </w:r>
    </w:p>
    <w:p w14:paraId="1F2EE53A">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1.中央银行产生的客观必然性</w:t>
      </w:r>
    </w:p>
    <w:p w14:paraId="011B1D9A">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2.中央银行的类型</w:t>
      </w:r>
    </w:p>
    <w:p w14:paraId="766C0DF1">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3.中央银行的职能</w:t>
      </w:r>
    </w:p>
    <w:p w14:paraId="2C74F733">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4.中央银行的业务</w:t>
      </w:r>
    </w:p>
    <w:p w14:paraId="0936EB1F">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九、货币的供求与均衡</w:t>
      </w:r>
    </w:p>
    <w:p w14:paraId="30D5398D">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1.货币供给</w:t>
      </w:r>
    </w:p>
    <w:p w14:paraId="6599BFED">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（1）货币供给的层次划分 （2）现代信用货币的供给机制 （3）中央银行与基础货币 （4）商业银行与存款货币创造 （5）货币乘数与货币供给量</w:t>
      </w:r>
    </w:p>
    <w:p w14:paraId="4E2B99CB">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2．货币需求</w:t>
      </w:r>
    </w:p>
    <w:p w14:paraId="40E53029">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（1）货币需求的含义及种类 （2）货币需求理论的发展</w:t>
      </w:r>
    </w:p>
    <w:p w14:paraId="492288A1">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3．货币均衡</w:t>
      </w:r>
    </w:p>
    <w:p w14:paraId="624C3185">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（1）货币供求均衡与总供求均衡 （2）通货膨胀与通货紧缩</w:t>
      </w:r>
    </w:p>
    <w:p w14:paraId="4E672921">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十、货币政策</w:t>
      </w:r>
    </w:p>
    <w:p w14:paraId="7546D17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1.货币政策的目标</w:t>
      </w:r>
    </w:p>
    <w:p w14:paraId="2858574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2.货币政策的操作指标与中介指标</w:t>
      </w:r>
    </w:p>
    <w:p w14:paraId="6E0A2256">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3.货币政策工具</w:t>
      </w:r>
    </w:p>
    <w:p w14:paraId="72FF8AD8">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（1）一般性货币政策工具 （2）选择性货币政策工具 （3）总量性政策工具与结构性政策工具</w:t>
      </w:r>
    </w:p>
    <w:p w14:paraId="3A4BFBB5">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4.货币政策的传导机制</w:t>
      </w:r>
    </w:p>
    <w:p w14:paraId="634AD191">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5.货币政策与财政政策的配合</w:t>
      </w:r>
    </w:p>
    <w:p w14:paraId="197C80F8">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十一、金融监管与金融风险</w:t>
      </w:r>
    </w:p>
    <w:p w14:paraId="4B687B20">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1.金融监管</w:t>
      </w:r>
    </w:p>
    <w:p w14:paraId="434DCE8E">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（1）金融监管的必要性（2）金融监管的目标与原则 （3）金融监管的内容 （4）金融监管体系 （5）巴塞尔协议</w:t>
      </w:r>
    </w:p>
    <w:p w14:paraId="1E16FB26">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2.金融风险</w:t>
      </w:r>
    </w:p>
    <w:p w14:paraId="1F0D63BF">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（1）金融风险的内涵、特征与种类 （2）金融风险管理</w:t>
      </w:r>
    </w:p>
    <w:p w14:paraId="5E9C0409">
      <w:pPr>
        <w:ind w:firstLine="422" w:firstLineChars="200"/>
        <w:rPr>
          <w:rFonts w:hint="eastAsia" w:ascii="仿宋_GB2312" w:hAnsi="Cambria" w:eastAsia="仿宋_GB2312"/>
          <w:b/>
          <w:sz w:val="21"/>
          <w:szCs w:val="21"/>
          <w:lang w:eastAsia="zh-CN"/>
        </w:rPr>
      </w:pPr>
    </w:p>
    <w:p w14:paraId="02ADA3EF">
      <w:pPr>
        <w:ind w:firstLine="422" w:firstLineChars="200"/>
        <w:rPr>
          <w:rFonts w:hint="eastAsia" w:ascii="仿宋_GB2312" w:hAnsi="宋体" w:eastAsia="仿宋_GB2312"/>
          <w:b/>
          <w:sz w:val="21"/>
          <w:szCs w:val="21"/>
          <w:lang w:eastAsia="zh-CN"/>
        </w:rPr>
      </w:pPr>
      <w:r>
        <w:rPr>
          <w:rFonts w:hint="eastAsia" w:ascii="仿宋_GB2312" w:hAnsi="宋体" w:eastAsia="仿宋_GB2312"/>
          <w:b/>
          <w:sz w:val="21"/>
          <w:szCs w:val="21"/>
          <w:lang w:eastAsia="zh-CN"/>
        </w:rPr>
        <w:t>第二部分   公司金融</w:t>
      </w:r>
    </w:p>
    <w:p w14:paraId="0DD7E6A2">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一、</w:t>
      </w:r>
      <w:r>
        <w:rPr>
          <w:rFonts w:hint="eastAsia" w:ascii="仿宋_GB2312" w:hAnsi="宋体" w:eastAsia="仿宋_GB2312" w:cs="宋体"/>
          <w:sz w:val="21"/>
          <w:szCs w:val="21"/>
          <w:lang w:eastAsia="zh-CN"/>
        </w:rPr>
        <w:t>公司金融导论</w:t>
      </w:r>
    </w:p>
    <w:p w14:paraId="404B8EE9">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1．公司与公司理财</w:t>
      </w:r>
    </w:p>
    <w:p w14:paraId="7A5F8DA3">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2．公司理财的目标</w:t>
      </w:r>
    </w:p>
    <w:p w14:paraId="19A90F27">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3．公司理财的主要经济环境</w:t>
      </w:r>
    </w:p>
    <w:p w14:paraId="21FB2AF9">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4．公司理财的产生与发展</w:t>
      </w:r>
    </w:p>
    <w:p w14:paraId="4DE0A4EB">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二、财务报表分析</w:t>
      </w:r>
    </w:p>
    <w:p w14:paraId="2CE4B69A">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1．财务报表</w:t>
      </w:r>
    </w:p>
    <w:p w14:paraId="55E15CC3">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2．财务报表分析概述</w:t>
      </w:r>
    </w:p>
    <w:p w14:paraId="6FBC2183">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bCs/>
          <w:kern w:val="2"/>
          <w:sz w:val="21"/>
          <w:szCs w:val="21"/>
          <w:lang w:val="en-US" w:eastAsia="zh-CN"/>
        </w:rPr>
        <w:t>3．</w:t>
      </w:r>
      <w:r>
        <w:rPr>
          <w:rFonts w:hint="eastAsia" w:ascii="仿宋_GB2312" w:hAnsi="宋体" w:eastAsia="仿宋_GB2312" w:cs="宋体"/>
          <w:kern w:val="2"/>
          <w:sz w:val="21"/>
          <w:szCs w:val="21"/>
          <w:lang w:val="en-US" w:eastAsia="zh-CN"/>
        </w:rPr>
        <w:t>财务报表指标分析</w:t>
      </w:r>
    </w:p>
    <w:p w14:paraId="16884548">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bCs/>
          <w:kern w:val="2"/>
          <w:sz w:val="21"/>
          <w:szCs w:val="21"/>
          <w:lang w:val="en-US" w:eastAsia="zh-CN"/>
        </w:rPr>
        <w:t>4．</w:t>
      </w:r>
      <w:r>
        <w:rPr>
          <w:rFonts w:hint="eastAsia" w:ascii="仿宋_GB2312" w:hAnsi="宋体" w:eastAsia="仿宋_GB2312" w:cs="宋体"/>
          <w:kern w:val="2"/>
          <w:sz w:val="21"/>
          <w:szCs w:val="21"/>
          <w:lang w:val="en-US" w:eastAsia="zh-CN"/>
        </w:rPr>
        <w:t>财务报表综合分析</w:t>
      </w:r>
    </w:p>
    <w:p w14:paraId="73D32E49">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bCs/>
          <w:kern w:val="2"/>
          <w:sz w:val="21"/>
          <w:szCs w:val="21"/>
          <w:lang w:val="en-US" w:eastAsia="zh-CN"/>
        </w:rPr>
        <w:t>5．</w:t>
      </w:r>
      <w:r>
        <w:rPr>
          <w:rFonts w:hint="eastAsia" w:ascii="仿宋_GB2312" w:hAnsi="宋体" w:eastAsia="仿宋_GB2312" w:cs="宋体"/>
          <w:kern w:val="2"/>
          <w:sz w:val="21"/>
          <w:szCs w:val="21"/>
          <w:lang w:val="en-US" w:eastAsia="zh-CN"/>
        </w:rPr>
        <w:t>财务报表分析案例</w:t>
      </w:r>
    </w:p>
    <w:p w14:paraId="4F365CDD">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三、金融资产估值</w:t>
      </w:r>
    </w:p>
    <w:p w14:paraId="4C9F07BD">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1．资金的时间价值</w:t>
      </w:r>
    </w:p>
    <w:p w14:paraId="760EFDEE">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（1）现值与终值</w:t>
      </w:r>
    </w:p>
    <w:p w14:paraId="64A00359">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（2）单利终值与现值的计算</w:t>
      </w:r>
    </w:p>
    <w:p w14:paraId="544624B2">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（3）复利终值与现值的计算</w:t>
      </w:r>
    </w:p>
    <w:p w14:paraId="4877BAB7">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（4）年金终值与现值的计算</w:t>
      </w:r>
    </w:p>
    <w:p w14:paraId="604CFA34">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2. 债券估值</w:t>
      </w:r>
    </w:p>
    <w:p w14:paraId="6C0D5609">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 xml:space="preserve">3. </w:t>
      </w:r>
      <w:r>
        <w:rPr>
          <w:rFonts w:hint="eastAsia" w:ascii="仿宋_GB2312" w:hAnsi="宋体" w:eastAsia="仿宋_GB2312" w:cs="宋体"/>
          <w:kern w:val="2"/>
          <w:sz w:val="21"/>
          <w:szCs w:val="21"/>
          <w:lang w:val="en-US" w:eastAsia="zh-CN"/>
        </w:rPr>
        <w:t>利率期限结构</w:t>
      </w:r>
    </w:p>
    <w:p w14:paraId="64A4510A">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 xml:space="preserve">4. </w:t>
      </w:r>
      <w:r>
        <w:rPr>
          <w:rFonts w:hint="eastAsia" w:ascii="仿宋_GB2312" w:hAnsi="宋体" w:eastAsia="仿宋_GB2312" w:cs="宋体"/>
          <w:kern w:val="2"/>
          <w:sz w:val="21"/>
          <w:szCs w:val="21"/>
          <w:lang w:val="en-US" w:eastAsia="zh-CN"/>
        </w:rPr>
        <w:t>股票估值</w:t>
      </w:r>
    </w:p>
    <w:p w14:paraId="1C9BB587">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四、资本预算</w:t>
      </w:r>
    </w:p>
    <w:p w14:paraId="24FEB9CB">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1．投资决策方法</w:t>
      </w:r>
    </w:p>
    <w:p w14:paraId="6F36F1B4">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（1）回收期法</w:t>
      </w:r>
    </w:p>
    <w:p w14:paraId="16D7BDDE">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（2）净现值法</w:t>
      </w:r>
    </w:p>
    <w:p w14:paraId="24688B7C">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（3）会计平均收益法</w:t>
      </w:r>
    </w:p>
    <w:p w14:paraId="6324A517">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（4）净现值法</w:t>
      </w:r>
    </w:p>
    <w:p w14:paraId="0EAA0043">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（5）内部收益率法</w:t>
      </w:r>
    </w:p>
    <w:p w14:paraId="615016AA">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2．增量现金流</w:t>
      </w:r>
    </w:p>
    <w:p w14:paraId="5639330B">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3．净现值法则的拓展运用：年均净现值与获利指数</w:t>
      </w:r>
    </w:p>
    <w:p w14:paraId="67E3CE8E">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4．资本预算的不确定性分析</w:t>
      </w:r>
    </w:p>
    <w:p w14:paraId="7FE174F7">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（1）敏感性分析</w:t>
      </w:r>
    </w:p>
    <w:p w14:paraId="3AB15CDA">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 xml:space="preserve">（2）场景分析 </w:t>
      </w:r>
    </w:p>
    <w:p w14:paraId="2A9018DA">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（3）决策树分析</w:t>
      </w:r>
    </w:p>
    <w:p w14:paraId="3A9DD060">
      <w:pPr>
        <w:ind w:firstLine="420" w:firstLineChars="200"/>
        <w:rPr>
          <w:rFonts w:hint="eastAsia" w:ascii="仿宋_GB2312" w:hAnsi="宋体" w:eastAsia="仿宋_GB2312"/>
          <w:bCs/>
          <w:kern w:val="2"/>
          <w:sz w:val="21"/>
          <w:szCs w:val="21"/>
          <w:lang w:val="en-US" w:eastAsia="zh-CN"/>
        </w:rPr>
      </w:pPr>
      <w:r>
        <w:rPr>
          <w:rFonts w:hint="eastAsia" w:ascii="仿宋_GB2312" w:hAnsi="宋体" w:eastAsia="仿宋_GB2312"/>
          <w:bCs/>
          <w:kern w:val="2"/>
          <w:sz w:val="21"/>
          <w:szCs w:val="21"/>
          <w:lang w:val="en-US" w:eastAsia="zh-CN"/>
        </w:rPr>
        <w:t>（4）盈亏平衡分析</w:t>
      </w:r>
    </w:p>
    <w:p w14:paraId="2B445005">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五、金融资产投资的收益与风险</w:t>
      </w:r>
    </w:p>
    <w:p w14:paraId="12489506">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1．</w:t>
      </w:r>
      <w:r>
        <w:rPr>
          <w:rFonts w:hint="eastAsia" w:ascii="仿宋_GB2312" w:hAnsi="宋体" w:eastAsia="仿宋_GB2312"/>
          <w:kern w:val="2"/>
          <w:sz w:val="21"/>
          <w:szCs w:val="21"/>
          <w:lang w:val="en-US" w:eastAsia="zh-CN"/>
        </w:rPr>
        <w:t>收益与风险</w:t>
      </w:r>
    </w:p>
    <w:p w14:paraId="0A392B8F">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2．</w:t>
      </w:r>
      <w:r>
        <w:rPr>
          <w:rFonts w:hint="eastAsia" w:ascii="仿宋_GB2312" w:hAnsi="宋体" w:eastAsia="仿宋_GB2312" w:cs="宋体"/>
          <w:kern w:val="2"/>
          <w:sz w:val="21"/>
          <w:szCs w:val="21"/>
          <w:lang w:val="en-US" w:eastAsia="zh-CN"/>
        </w:rPr>
        <w:t>投资组合理论</w:t>
      </w:r>
    </w:p>
    <w:p w14:paraId="37D4D7A5">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3．</w:t>
      </w:r>
      <w:r>
        <w:rPr>
          <w:rFonts w:hint="eastAsia" w:ascii="仿宋_GB2312" w:hAnsi="宋体" w:eastAsia="仿宋_GB2312" w:cs="宋体"/>
          <w:kern w:val="2"/>
          <w:sz w:val="21"/>
          <w:szCs w:val="21"/>
          <w:lang w:val="en-US" w:eastAsia="zh-CN"/>
        </w:rPr>
        <w:t>资本资产定价模型（CAPM）</w:t>
      </w:r>
    </w:p>
    <w:p w14:paraId="52C563D5">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4．</w:t>
      </w:r>
      <w:r>
        <w:rPr>
          <w:rFonts w:hint="eastAsia" w:ascii="仿宋_GB2312" w:hAnsi="宋体" w:eastAsia="仿宋_GB2312" w:cs="宋体"/>
          <w:kern w:val="2"/>
          <w:sz w:val="21"/>
          <w:szCs w:val="21"/>
          <w:lang w:val="en-US" w:eastAsia="zh-CN"/>
        </w:rPr>
        <w:t>套利定价理论（APT）</w:t>
      </w:r>
    </w:p>
    <w:p w14:paraId="1F57C228">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六、资本成本与资本结构</w:t>
      </w:r>
    </w:p>
    <w:p w14:paraId="61798E77">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1．债务融资与股权融资</w:t>
      </w:r>
    </w:p>
    <w:p w14:paraId="2810ECA1">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（1）债务融资的定义、特点、类型结构</w:t>
      </w:r>
    </w:p>
    <w:p w14:paraId="4CA2DEB1">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（2）股权融资的定义、特点、类型结构</w:t>
      </w:r>
    </w:p>
    <w:p w14:paraId="1E1BEC8E">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2．资本成本的计算</w:t>
      </w:r>
    </w:p>
    <w:p w14:paraId="440A1672">
      <w:pPr>
        <w:ind w:firstLine="420" w:firstLineChars="200"/>
        <w:rPr>
          <w:rFonts w:hint="eastAsia" w:ascii="仿宋_GB2312" w:hAnsi="宋体" w:eastAsia="仿宋_GB2312" w:cs="宋体"/>
          <w:kern w:val="2"/>
          <w:sz w:val="21"/>
          <w:szCs w:val="21"/>
          <w:lang w:val="en-US" w:eastAsia="zh-CN"/>
        </w:rPr>
      </w:pPr>
      <w:bookmarkStart w:id="0" w:name="_Hlk76620531"/>
      <w:r>
        <w:rPr>
          <w:rFonts w:hint="eastAsia" w:ascii="仿宋_GB2312" w:hAnsi="宋体" w:eastAsia="仿宋_GB2312" w:cs="宋体"/>
          <w:kern w:val="2"/>
          <w:sz w:val="21"/>
          <w:szCs w:val="21"/>
          <w:lang w:val="en-US" w:eastAsia="zh-CN"/>
        </w:rPr>
        <w:t>3．财务杠杆</w:t>
      </w:r>
    </w:p>
    <w:bookmarkEnd w:id="0"/>
    <w:p w14:paraId="12AF2B7D">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4．资本结构</w:t>
      </w:r>
    </w:p>
    <w:p w14:paraId="5EDB906F">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（1）资本结构的定义（2）最优资本结构决策（3）资本结构的调整</w:t>
      </w:r>
    </w:p>
    <w:p w14:paraId="3C8BE59C">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5．资本结构理论</w:t>
      </w:r>
    </w:p>
    <w:p w14:paraId="26F25686">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七、公司企业并购、重组与破产</w:t>
      </w:r>
    </w:p>
    <w:p w14:paraId="78120B72">
      <w:pPr>
        <w:ind w:firstLine="420" w:firstLineChars="200"/>
        <w:rPr>
          <w:rFonts w:hint="eastAsia" w:ascii="仿宋_GB2312" w:hAnsi="宋体" w:eastAsia="仿宋_GB2312" w:cs="宋体"/>
          <w:bCs/>
          <w:kern w:val="2"/>
          <w:sz w:val="21"/>
          <w:szCs w:val="21"/>
          <w:lang w:val="en-US" w:eastAsia="zh-CN"/>
        </w:rPr>
      </w:pPr>
      <w:r>
        <w:rPr>
          <w:rFonts w:hint="eastAsia" w:ascii="仿宋_GB2312" w:hAnsi="宋体" w:eastAsia="仿宋_GB2312" w:cs="宋体"/>
          <w:bCs/>
          <w:kern w:val="2"/>
          <w:sz w:val="21"/>
          <w:szCs w:val="21"/>
          <w:lang w:val="en-US" w:eastAsia="zh-CN"/>
        </w:rPr>
        <w:t>1．公司并购概述</w:t>
      </w:r>
    </w:p>
    <w:p w14:paraId="016D51B6">
      <w:pPr>
        <w:ind w:firstLine="420" w:firstLineChars="200"/>
        <w:rPr>
          <w:rFonts w:hint="eastAsia" w:ascii="仿宋_GB2312" w:hAnsi="宋体" w:eastAsia="仿宋_GB2312" w:cs="宋体"/>
          <w:bCs/>
          <w:kern w:val="2"/>
          <w:sz w:val="21"/>
          <w:szCs w:val="21"/>
          <w:lang w:val="en-US" w:eastAsia="zh-CN"/>
        </w:rPr>
      </w:pPr>
      <w:r>
        <w:rPr>
          <w:rFonts w:hint="eastAsia" w:ascii="仿宋_GB2312" w:hAnsi="宋体" w:eastAsia="仿宋_GB2312" w:cs="宋体"/>
          <w:bCs/>
          <w:kern w:val="2"/>
          <w:sz w:val="21"/>
          <w:szCs w:val="21"/>
          <w:lang w:val="en-US" w:eastAsia="zh-CN"/>
        </w:rPr>
        <w:t>2．企业并购分析</w:t>
      </w:r>
    </w:p>
    <w:p w14:paraId="3E03ECDC">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3．企业重组类型</w:t>
      </w:r>
    </w:p>
    <w:p w14:paraId="7472C704">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4．财务困境与破产清算</w:t>
      </w:r>
    </w:p>
    <w:p w14:paraId="7631C15B">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八、股利分配决策</w:t>
      </w:r>
    </w:p>
    <w:p w14:paraId="1C035CE3">
      <w:pPr>
        <w:ind w:firstLine="420" w:firstLineChars="200"/>
        <w:rPr>
          <w:rFonts w:hint="eastAsia" w:ascii="仿宋_GB2312" w:hAnsi="宋体" w:eastAsia="仿宋_GB2312" w:cs="宋体"/>
          <w:bCs/>
          <w:kern w:val="2"/>
          <w:sz w:val="21"/>
          <w:szCs w:val="21"/>
          <w:lang w:val="en-US" w:eastAsia="zh-CN"/>
        </w:rPr>
      </w:pPr>
      <w:r>
        <w:rPr>
          <w:rFonts w:hint="eastAsia" w:ascii="仿宋_GB2312" w:hAnsi="宋体" w:eastAsia="仿宋_GB2312" w:cs="宋体"/>
          <w:bCs/>
          <w:kern w:val="2"/>
          <w:sz w:val="21"/>
          <w:szCs w:val="21"/>
          <w:lang w:val="en-US" w:eastAsia="zh-CN"/>
        </w:rPr>
        <w:t>1．股利政策概述</w:t>
      </w:r>
    </w:p>
    <w:p w14:paraId="761611FD">
      <w:pPr>
        <w:ind w:firstLine="420" w:firstLineChars="200"/>
        <w:rPr>
          <w:rFonts w:hint="eastAsia" w:ascii="仿宋_GB2312" w:hAnsi="宋体" w:eastAsia="仿宋_GB2312" w:cs="宋体"/>
          <w:bCs/>
          <w:kern w:val="2"/>
          <w:sz w:val="21"/>
          <w:szCs w:val="21"/>
          <w:lang w:val="en-US" w:eastAsia="zh-CN"/>
        </w:rPr>
      </w:pPr>
      <w:r>
        <w:rPr>
          <w:rFonts w:hint="eastAsia" w:ascii="仿宋_GB2312" w:hAnsi="宋体" w:eastAsia="仿宋_GB2312" w:cs="宋体"/>
          <w:bCs/>
          <w:kern w:val="2"/>
          <w:sz w:val="21"/>
          <w:szCs w:val="21"/>
          <w:lang w:val="en-US" w:eastAsia="zh-CN"/>
        </w:rPr>
        <w:t>2．</w:t>
      </w:r>
      <w:r>
        <w:rPr>
          <w:rFonts w:hint="eastAsia" w:ascii="仿宋_GB2312" w:hAnsi="宋体" w:eastAsia="仿宋_GB2312"/>
          <w:kern w:val="2"/>
          <w:sz w:val="21"/>
          <w:szCs w:val="21"/>
          <w:lang w:val="en-US" w:eastAsia="zh-CN"/>
        </w:rPr>
        <w:t>股利政策的限制因素</w:t>
      </w:r>
    </w:p>
    <w:p w14:paraId="08633355">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3．</w:t>
      </w:r>
      <w:r>
        <w:rPr>
          <w:rFonts w:hint="eastAsia" w:ascii="仿宋_GB2312" w:hAnsi="宋体" w:eastAsia="仿宋_GB2312"/>
          <w:kern w:val="2"/>
          <w:sz w:val="21"/>
          <w:szCs w:val="21"/>
          <w:lang w:val="en-US" w:eastAsia="zh-CN"/>
        </w:rPr>
        <w:t>股利政策理论</w:t>
      </w:r>
    </w:p>
    <w:p w14:paraId="4D25A5CB">
      <w:pPr>
        <w:ind w:firstLine="420" w:firstLineChars="200"/>
        <w:rPr>
          <w:rFonts w:hint="eastAsia" w:ascii="仿宋_GB2312" w:hAnsi="宋体" w:eastAsia="仿宋_GB2312" w:cs="宋体"/>
          <w:color w:val="FF0000"/>
          <w:sz w:val="21"/>
          <w:szCs w:val="21"/>
          <w:lang w:val="en-US" w:eastAsia="zh-CN"/>
        </w:rPr>
      </w:pPr>
      <w:r>
        <w:rPr>
          <w:rFonts w:hint="eastAsia" w:ascii="仿宋_GB2312" w:hAnsi="宋体" w:eastAsia="仿宋_GB2312" w:cs="宋体"/>
          <w:kern w:val="2"/>
          <w:sz w:val="21"/>
          <w:szCs w:val="21"/>
          <w:lang w:val="en-US" w:eastAsia="zh-CN"/>
        </w:rPr>
        <w:t>4．</w:t>
      </w:r>
      <w:r>
        <w:rPr>
          <w:rFonts w:hint="eastAsia" w:ascii="仿宋_GB2312" w:hAnsi="宋体" w:eastAsia="仿宋_GB2312"/>
          <w:kern w:val="2"/>
          <w:sz w:val="21"/>
          <w:szCs w:val="21"/>
          <w:lang w:val="en-US" w:eastAsia="zh-CN"/>
        </w:rPr>
        <w:t>股利政策的类型</w:t>
      </w:r>
    </w:p>
    <w:p w14:paraId="705D3258">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九、流动资产管理</w:t>
      </w:r>
    </w:p>
    <w:p w14:paraId="24BEE232">
      <w:pPr>
        <w:ind w:firstLine="420" w:firstLineChars="200"/>
        <w:rPr>
          <w:rFonts w:hint="eastAsia" w:ascii="仿宋_GB2312" w:hAnsi="宋体" w:eastAsia="仿宋_GB2312" w:cs="宋体"/>
          <w:bCs/>
          <w:kern w:val="2"/>
          <w:sz w:val="21"/>
          <w:szCs w:val="21"/>
          <w:lang w:val="en-US" w:eastAsia="zh-CN"/>
        </w:rPr>
      </w:pPr>
      <w:r>
        <w:rPr>
          <w:rFonts w:hint="eastAsia" w:ascii="仿宋_GB2312" w:hAnsi="宋体" w:eastAsia="仿宋_GB2312" w:cs="宋体"/>
          <w:bCs/>
          <w:kern w:val="2"/>
          <w:sz w:val="21"/>
          <w:szCs w:val="21"/>
          <w:lang w:val="en-US" w:eastAsia="zh-CN"/>
        </w:rPr>
        <w:t>1．现金管理</w:t>
      </w:r>
    </w:p>
    <w:p w14:paraId="431ED367">
      <w:pPr>
        <w:ind w:firstLine="420" w:firstLineChars="200"/>
        <w:rPr>
          <w:rFonts w:hint="eastAsia" w:ascii="仿宋_GB2312" w:hAnsi="宋体" w:eastAsia="仿宋_GB2312" w:cs="宋体"/>
          <w:bCs/>
          <w:kern w:val="2"/>
          <w:sz w:val="21"/>
          <w:szCs w:val="21"/>
          <w:lang w:val="en-US" w:eastAsia="zh-CN"/>
        </w:rPr>
      </w:pPr>
      <w:r>
        <w:rPr>
          <w:rFonts w:hint="eastAsia" w:ascii="仿宋_GB2312" w:hAnsi="宋体" w:eastAsia="仿宋_GB2312" w:cs="宋体"/>
          <w:bCs/>
          <w:kern w:val="2"/>
          <w:sz w:val="21"/>
          <w:szCs w:val="21"/>
          <w:lang w:val="en-US" w:eastAsia="zh-CN"/>
        </w:rPr>
        <w:t>2．</w:t>
      </w:r>
      <w:r>
        <w:rPr>
          <w:rFonts w:hint="eastAsia" w:ascii="仿宋_GB2312" w:hAnsi="宋体" w:eastAsia="仿宋_GB2312"/>
          <w:kern w:val="2"/>
          <w:sz w:val="21"/>
          <w:szCs w:val="21"/>
          <w:lang w:val="en-US" w:eastAsia="zh-CN"/>
        </w:rPr>
        <w:t>信用管理</w:t>
      </w:r>
    </w:p>
    <w:p w14:paraId="2E470B73">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3．</w:t>
      </w:r>
      <w:r>
        <w:rPr>
          <w:rFonts w:hint="eastAsia" w:ascii="仿宋_GB2312" w:hAnsi="宋体" w:eastAsia="仿宋_GB2312"/>
          <w:kern w:val="2"/>
          <w:sz w:val="21"/>
          <w:szCs w:val="21"/>
          <w:lang w:val="en-US" w:eastAsia="zh-CN"/>
        </w:rPr>
        <w:t>存货管理</w:t>
      </w:r>
    </w:p>
    <w:p w14:paraId="0FA3995F">
      <w:pPr>
        <w:ind w:firstLine="420" w:firstLineChars="200"/>
        <w:rPr>
          <w:rFonts w:hint="eastAsia" w:ascii="仿宋_GB2312" w:hAnsi="宋体" w:eastAsia="仿宋_GB2312"/>
          <w:sz w:val="21"/>
          <w:szCs w:val="21"/>
          <w:lang w:eastAsia="zh-CN"/>
        </w:rPr>
      </w:pPr>
      <w:r>
        <w:rPr>
          <w:rFonts w:hint="eastAsia" w:ascii="仿宋_GB2312" w:hAnsi="宋体" w:eastAsia="仿宋_GB2312"/>
          <w:sz w:val="21"/>
          <w:szCs w:val="21"/>
          <w:lang w:eastAsia="zh-CN"/>
        </w:rPr>
        <w:t>十、行为公司金融</w:t>
      </w:r>
    </w:p>
    <w:p w14:paraId="28164ECA">
      <w:pPr>
        <w:ind w:firstLine="420" w:firstLineChars="200"/>
        <w:rPr>
          <w:rFonts w:hint="eastAsia" w:ascii="仿宋_GB2312" w:hAnsi="宋体" w:eastAsia="仿宋_GB2312" w:cs="宋体"/>
          <w:bCs/>
          <w:kern w:val="2"/>
          <w:sz w:val="21"/>
          <w:szCs w:val="21"/>
          <w:lang w:val="en-US" w:eastAsia="zh-CN"/>
        </w:rPr>
      </w:pPr>
      <w:r>
        <w:rPr>
          <w:rFonts w:hint="eastAsia" w:ascii="仿宋_GB2312" w:hAnsi="宋体" w:eastAsia="仿宋_GB2312" w:cs="宋体"/>
          <w:bCs/>
          <w:kern w:val="2"/>
          <w:sz w:val="21"/>
          <w:szCs w:val="21"/>
          <w:lang w:val="en-US" w:eastAsia="zh-CN"/>
        </w:rPr>
        <w:t>1．行为公司金融概述</w:t>
      </w:r>
    </w:p>
    <w:p w14:paraId="45CBF61D">
      <w:pPr>
        <w:ind w:firstLine="420" w:firstLineChars="200"/>
        <w:rPr>
          <w:rFonts w:hint="eastAsia" w:ascii="仿宋_GB2312" w:hAnsi="宋体" w:eastAsia="仿宋_GB2312" w:cs="宋体"/>
          <w:bCs/>
          <w:kern w:val="2"/>
          <w:sz w:val="21"/>
          <w:szCs w:val="21"/>
          <w:lang w:val="en-US" w:eastAsia="zh-CN"/>
        </w:rPr>
      </w:pPr>
      <w:r>
        <w:rPr>
          <w:rFonts w:hint="eastAsia" w:ascii="仿宋_GB2312" w:hAnsi="宋体" w:eastAsia="仿宋_GB2312" w:cs="宋体"/>
          <w:bCs/>
          <w:kern w:val="2"/>
          <w:sz w:val="21"/>
          <w:szCs w:val="21"/>
          <w:lang w:val="en-US" w:eastAsia="zh-CN"/>
        </w:rPr>
        <w:t>2．非理性下的公司投资</w:t>
      </w:r>
    </w:p>
    <w:p w14:paraId="0A9300FE">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3．</w:t>
      </w:r>
      <w:r>
        <w:rPr>
          <w:rFonts w:hint="eastAsia" w:ascii="仿宋_GB2312" w:hAnsi="宋体" w:eastAsia="仿宋_GB2312" w:cs="宋体"/>
          <w:bCs/>
          <w:kern w:val="2"/>
          <w:sz w:val="21"/>
          <w:szCs w:val="21"/>
          <w:lang w:val="en-US" w:eastAsia="zh-CN"/>
        </w:rPr>
        <w:t>非理性下的公司融资</w:t>
      </w:r>
    </w:p>
    <w:p w14:paraId="0D5CE154">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4．非理性下的其他公司决策</w:t>
      </w:r>
    </w:p>
    <w:p w14:paraId="480FB26E">
      <w:pPr>
        <w:spacing w:line="360" w:lineRule="auto"/>
        <w:ind w:firstLine="420" w:firstLineChars="200"/>
        <w:rPr>
          <w:rFonts w:hint="eastAsia" w:ascii="仿宋_GB2312" w:hAnsi="Cambria" w:eastAsia="仿宋_GB2312"/>
          <w:sz w:val="21"/>
          <w:szCs w:val="21"/>
          <w:lang w:eastAsia="zh-CN"/>
        </w:rPr>
      </w:pPr>
    </w:p>
    <w:p w14:paraId="656C083B">
      <w:pPr>
        <w:widowControl w:val="0"/>
        <w:jc w:val="center"/>
        <w:rPr>
          <w:rFonts w:hint="eastAsia" w:ascii="黑体" w:hAnsi="Times New Roman" w:eastAsia="黑体"/>
          <w:kern w:val="2"/>
          <w:sz w:val="32"/>
          <w:szCs w:val="32"/>
          <w:lang w:val="en-US" w:eastAsia="zh-CN"/>
        </w:rPr>
      </w:pPr>
      <w:r>
        <w:rPr>
          <w:rFonts w:hint="eastAsia" w:ascii="黑体" w:hAnsi="Times New Roman" w:eastAsia="黑体"/>
          <w:kern w:val="2"/>
          <w:sz w:val="32"/>
          <w:szCs w:val="32"/>
          <w:lang w:val="en-US" w:eastAsia="zh-CN"/>
        </w:rPr>
        <w:t>四、参考书目</w:t>
      </w:r>
    </w:p>
    <w:p w14:paraId="2B6C4637">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1、《金融学》李健 主编，高等教育出版社， 2018年，第三版。</w:t>
      </w:r>
    </w:p>
    <w:p w14:paraId="7B88F49E">
      <w:pPr>
        <w:ind w:firstLine="420" w:firstLineChars="200"/>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2、《金融学》黄达、张杰 主编，中国人民大学出版社，2020年，第五版。</w:t>
      </w:r>
    </w:p>
    <w:p w14:paraId="31F7F1AB">
      <w:pPr>
        <w:ind w:firstLine="420" w:firstLineChars="200"/>
        <w:rPr>
          <w:rFonts w:hint="eastAsia" w:ascii="宋体" w:hAnsi="宋体" w:cs="宋体"/>
          <w:kern w:val="2"/>
          <w:sz w:val="24"/>
          <w:szCs w:val="24"/>
          <w:lang w:val="en-US" w:eastAsia="zh-CN"/>
        </w:rPr>
      </w:pPr>
      <w:r>
        <w:rPr>
          <w:rFonts w:hint="eastAsia" w:ascii="仿宋_GB2312" w:hAnsi="宋体" w:eastAsia="仿宋_GB2312" w:cs="宋体"/>
          <w:kern w:val="2"/>
          <w:sz w:val="21"/>
          <w:szCs w:val="21"/>
          <w:lang w:val="en-US" w:eastAsia="zh-CN"/>
        </w:rPr>
        <w:t>3、《公司金融》，李曜、刘莉亚、邓辛 著，中国人民大学出版社，2019年10月第二版。</w:t>
      </w:r>
    </w:p>
    <w:p w14:paraId="6AE1F6D6">
      <w:pPr>
        <w:widowControl w:val="0"/>
        <w:spacing w:line="360" w:lineRule="auto"/>
        <w:jc w:val="both"/>
        <w:rPr>
          <w:rFonts w:hint="eastAsia" w:ascii="宋体" w:hAnsi="宋体"/>
          <w:kern w:val="2"/>
          <w:sz w:val="24"/>
          <w:szCs w:val="24"/>
          <w:lang w:val="en-US" w:eastAsia="zh-CN"/>
        </w:rPr>
      </w:pPr>
    </w:p>
    <w:p w14:paraId="489D3E40">
      <w:pPr>
        <w:widowControl w:val="0"/>
        <w:spacing w:line="240" w:lineRule="atLeast"/>
        <w:ind w:firstLine="480" w:firstLineChars="200"/>
        <w:jc w:val="both"/>
        <w:rPr>
          <w:rFonts w:hint="eastAsia" w:ascii="Times New Roman" w:hAnsi="Times New Roman"/>
          <w:kern w:val="2"/>
          <w:sz w:val="24"/>
          <w:szCs w:val="24"/>
          <w:lang w:val="en-US" w:eastAsia="zh-CN"/>
        </w:rPr>
      </w:pPr>
    </w:p>
    <w:p w14:paraId="2FF43063">
      <w:pPr>
        <w:widowControl w:val="0"/>
        <w:spacing w:line="360" w:lineRule="auto"/>
        <w:ind w:firstLine="435"/>
        <w:jc w:val="both"/>
        <w:rPr>
          <w:rFonts w:hint="eastAsia" w:ascii="宋体" w:hAnsi="宋体" w:cs="宋体"/>
          <w:kern w:val="2"/>
          <w:sz w:val="21"/>
          <w:szCs w:val="21"/>
          <w:lang w:val="en-US" w:eastAsia="zh-CN"/>
        </w:rPr>
      </w:pPr>
    </w:p>
    <w:p w14:paraId="4D9B2E1C">
      <w:pPr>
        <w:widowControl w:val="0"/>
        <w:ind w:firstLine="422" w:firstLineChars="200"/>
        <w:jc w:val="both"/>
        <w:rPr>
          <w:rFonts w:hint="eastAsia" w:ascii="宋体" w:hAnsi="宋体"/>
          <w:b/>
          <w:kern w:val="2"/>
          <w:sz w:val="21"/>
          <w:szCs w:val="21"/>
          <w:lang w:val="en-US" w:eastAsia="zh-CN"/>
        </w:rPr>
      </w:pPr>
    </w:p>
    <w:p w14:paraId="6E0B61F2">
      <w:pPr>
        <w:widowControl w:val="0"/>
        <w:tabs>
          <w:tab w:val="left" w:pos="3210"/>
        </w:tabs>
        <w:ind w:firstLine="482" w:firstLineChars="200"/>
        <w:jc w:val="center"/>
        <w:rPr>
          <w:rFonts w:hint="eastAsia" w:ascii="宋体" w:hAnsi="宋体"/>
          <w:b/>
          <w:bCs/>
          <w:kern w:val="2"/>
          <w:sz w:val="24"/>
          <w:szCs w:val="32"/>
          <w:lang w:val="en-US" w:eastAsia="zh-CN"/>
        </w:rPr>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2M5ZTU3NTFlODQ3MDM1MTQzYzAzYmI3NjgyOTUifQ=="/>
  </w:docVars>
  <w:rsids>
    <w:rsidRoot w:val="00217F62"/>
    <w:rsid w:val="00002A5F"/>
    <w:rsid w:val="00013011"/>
    <w:rsid w:val="00047D17"/>
    <w:rsid w:val="0013068C"/>
    <w:rsid w:val="00151FD5"/>
    <w:rsid w:val="0016132A"/>
    <w:rsid w:val="001615E5"/>
    <w:rsid w:val="00181E42"/>
    <w:rsid w:val="00185B01"/>
    <w:rsid w:val="001915A3"/>
    <w:rsid w:val="00217F62"/>
    <w:rsid w:val="002A6330"/>
    <w:rsid w:val="00320AA8"/>
    <w:rsid w:val="00403F68"/>
    <w:rsid w:val="0042386E"/>
    <w:rsid w:val="00475F5D"/>
    <w:rsid w:val="004C0D6F"/>
    <w:rsid w:val="004D723C"/>
    <w:rsid w:val="00545FF8"/>
    <w:rsid w:val="005B10FC"/>
    <w:rsid w:val="006009D8"/>
    <w:rsid w:val="00630134"/>
    <w:rsid w:val="00656E70"/>
    <w:rsid w:val="006656DC"/>
    <w:rsid w:val="006A0AD8"/>
    <w:rsid w:val="006A498A"/>
    <w:rsid w:val="006C0C42"/>
    <w:rsid w:val="006D4825"/>
    <w:rsid w:val="007233B7"/>
    <w:rsid w:val="00733114"/>
    <w:rsid w:val="00754792"/>
    <w:rsid w:val="00796273"/>
    <w:rsid w:val="007A3ABE"/>
    <w:rsid w:val="007D5D2F"/>
    <w:rsid w:val="008005A9"/>
    <w:rsid w:val="00851885"/>
    <w:rsid w:val="00897FAB"/>
    <w:rsid w:val="008B7574"/>
    <w:rsid w:val="008F7A46"/>
    <w:rsid w:val="00937D1A"/>
    <w:rsid w:val="0094725A"/>
    <w:rsid w:val="009B16F7"/>
    <w:rsid w:val="009D3AAF"/>
    <w:rsid w:val="00A33BE7"/>
    <w:rsid w:val="00A406D1"/>
    <w:rsid w:val="00A406D5"/>
    <w:rsid w:val="00A40DDD"/>
    <w:rsid w:val="00A906D8"/>
    <w:rsid w:val="00AB5A74"/>
    <w:rsid w:val="00AD411D"/>
    <w:rsid w:val="00B21ABD"/>
    <w:rsid w:val="00C07B3A"/>
    <w:rsid w:val="00C3074B"/>
    <w:rsid w:val="00C442A6"/>
    <w:rsid w:val="00CC41D3"/>
    <w:rsid w:val="00D17DA7"/>
    <w:rsid w:val="00D33952"/>
    <w:rsid w:val="00D5201A"/>
    <w:rsid w:val="00DA05D2"/>
    <w:rsid w:val="00DA4F4C"/>
    <w:rsid w:val="00E43EC7"/>
    <w:rsid w:val="00E4609B"/>
    <w:rsid w:val="00EA066A"/>
    <w:rsid w:val="00EB3346"/>
    <w:rsid w:val="00ED0413"/>
    <w:rsid w:val="00F00D97"/>
    <w:rsid w:val="00F071AE"/>
    <w:rsid w:val="00F10710"/>
    <w:rsid w:val="00F352F9"/>
    <w:rsid w:val="00FC4614"/>
    <w:rsid w:val="1E961581"/>
    <w:rsid w:val="2933403C"/>
    <w:rsid w:val="35166213"/>
    <w:rsid w:val="7C7B18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2"/>
      <w:szCs w:val="22"/>
      <w:lang w:val="zh-CN" w:eastAsia="en-US" w:bidi="ar-SA"/>
    </w:rPr>
  </w:style>
  <w:style w:type="paragraph" w:styleId="2">
    <w:name w:val="heading 1"/>
    <w:basedOn w:val="1"/>
    <w:next w:val="1"/>
    <w:qFormat/>
    <w:uiPriority w:val="9"/>
    <w:pPr>
      <w:keepNext/>
      <w:keepLines/>
      <w:spacing w:before="480"/>
      <w:outlineLvl w:val="0"/>
    </w:pPr>
    <w:rPr>
      <w:rFonts w:ascii="Cambria" w:hAnsi="Cambria" w:eastAsia="宋体" w:cs="Times New Roman"/>
      <w:b/>
      <w:bCs/>
      <w:color w:val="365F91"/>
      <w:sz w:val="28"/>
      <w:szCs w:val="28"/>
    </w:rPr>
  </w:style>
  <w:style w:type="paragraph" w:styleId="3">
    <w:name w:val="heading 2"/>
    <w:basedOn w:val="1"/>
    <w:next w:val="1"/>
    <w:link w:val="16"/>
    <w:qFormat/>
    <w:uiPriority w:val="9"/>
    <w:pPr>
      <w:keepNext/>
      <w:keepLines/>
      <w:spacing w:before="200"/>
      <w:outlineLvl w:val="1"/>
    </w:pPr>
    <w:rPr>
      <w:rFonts w:ascii="Cambria" w:hAnsi="Cambria"/>
      <w:b/>
      <w:bCs/>
      <w:color w:val="4F81BD"/>
      <w:sz w:val="26"/>
      <w:szCs w:val="26"/>
    </w:rPr>
  </w:style>
  <w:style w:type="paragraph" w:styleId="4">
    <w:name w:val="heading 3"/>
    <w:basedOn w:val="1"/>
    <w:next w:val="1"/>
    <w:link w:val="17"/>
    <w:qFormat/>
    <w:uiPriority w:val="9"/>
    <w:pPr>
      <w:keepNext/>
      <w:keepLines/>
      <w:spacing w:before="200"/>
      <w:outlineLvl w:val="2"/>
    </w:pPr>
    <w:rPr>
      <w:rFonts w:ascii="Cambria" w:hAnsi="Cambria"/>
      <w:b/>
      <w:bCs/>
      <w:color w:val="4F81BD"/>
      <w:sz w:val="20"/>
      <w:szCs w:val="20"/>
    </w:rPr>
  </w:style>
  <w:style w:type="paragraph" w:styleId="5">
    <w:name w:val="heading 4"/>
    <w:basedOn w:val="1"/>
    <w:next w:val="1"/>
    <w:link w:val="18"/>
    <w:qFormat/>
    <w:uiPriority w:val="9"/>
    <w:pPr>
      <w:keepNext/>
      <w:keepLines/>
      <w:spacing w:before="200"/>
      <w:outlineLvl w:val="3"/>
    </w:pPr>
    <w:rPr>
      <w:rFonts w:ascii="Cambria" w:hAnsi="Cambria"/>
      <w:b/>
      <w:bCs/>
      <w:i/>
      <w:iCs/>
      <w:color w:val="4F81BD"/>
      <w:sz w:val="20"/>
      <w:szCs w:val="20"/>
    </w:rPr>
  </w:style>
  <w:style w:type="paragraph" w:styleId="6">
    <w:name w:val="heading 5"/>
    <w:basedOn w:val="1"/>
    <w:next w:val="1"/>
    <w:link w:val="19"/>
    <w:qFormat/>
    <w:uiPriority w:val="9"/>
    <w:pPr>
      <w:keepNext/>
      <w:keepLines/>
      <w:spacing w:before="200"/>
      <w:outlineLvl w:val="4"/>
    </w:pPr>
    <w:rPr>
      <w:rFonts w:ascii="Cambria" w:hAnsi="Cambria"/>
      <w:color w:val="243F60"/>
      <w:sz w:val="20"/>
      <w:szCs w:val="20"/>
    </w:rPr>
  </w:style>
  <w:style w:type="paragraph" w:styleId="7">
    <w:name w:val="heading 6"/>
    <w:basedOn w:val="1"/>
    <w:next w:val="1"/>
    <w:link w:val="20"/>
    <w:qFormat/>
    <w:uiPriority w:val="9"/>
    <w:pPr>
      <w:keepNext/>
      <w:keepLines/>
      <w:spacing w:before="200"/>
      <w:outlineLvl w:val="5"/>
    </w:pPr>
    <w:rPr>
      <w:rFonts w:ascii="Cambria" w:hAnsi="Cambria"/>
      <w:i/>
      <w:iCs/>
      <w:color w:val="243F60"/>
      <w:sz w:val="20"/>
      <w:szCs w:val="20"/>
    </w:rPr>
  </w:style>
  <w:style w:type="paragraph" w:styleId="8">
    <w:name w:val="heading 7"/>
    <w:basedOn w:val="1"/>
    <w:next w:val="1"/>
    <w:link w:val="21"/>
    <w:qFormat/>
    <w:uiPriority w:val="9"/>
    <w:pPr>
      <w:keepNext/>
      <w:keepLines/>
      <w:spacing w:before="200"/>
      <w:outlineLvl w:val="6"/>
    </w:pPr>
    <w:rPr>
      <w:rFonts w:ascii="Cambria" w:hAnsi="Cambria"/>
      <w:i/>
      <w:iCs/>
      <w:color w:val="404040"/>
      <w:sz w:val="20"/>
      <w:szCs w:val="20"/>
    </w:rPr>
  </w:style>
  <w:style w:type="paragraph" w:styleId="9">
    <w:name w:val="heading 8"/>
    <w:basedOn w:val="1"/>
    <w:next w:val="1"/>
    <w:link w:val="22"/>
    <w:qFormat/>
    <w:uiPriority w:val="9"/>
    <w:pPr>
      <w:keepNext/>
      <w:keepLines/>
      <w:spacing w:before="200"/>
      <w:outlineLvl w:val="7"/>
    </w:pPr>
    <w:rPr>
      <w:rFonts w:ascii="Cambria" w:hAnsi="Cambria"/>
      <w:color w:val="404040"/>
      <w:sz w:val="20"/>
      <w:szCs w:val="20"/>
    </w:rPr>
  </w:style>
  <w:style w:type="paragraph" w:styleId="10">
    <w:name w:val="heading 9"/>
    <w:basedOn w:val="1"/>
    <w:next w:val="1"/>
    <w:link w:val="23"/>
    <w:qFormat/>
    <w:uiPriority w:val="9"/>
    <w:pPr>
      <w:keepNext/>
      <w:keepLines/>
      <w:spacing w:before="200"/>
      <w:outlineLvl w:val="8"/>
    </w:pPr>
    <w:rPr>
      <w:rFonts w:ascii="Cambria" w:hAnsi="Cambria"/>
      <w:i/>
      <w:iCs/>
      <w:color w:val="404040"/>
      <w:sz w:val="20"/>
      <w:szCs w:val="20"/>
    </w:rPr>
  </w:style>
  <w:style w:type="character" w:default="1" w:styleId="14">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11">
    <w:name w:val="footer"/>
    <w:basedOn w:val="1"/>
    <w:link w:val="24"/>
    <w:unhideWhenUsed/>
    <w:uiPriority w:val="99"/>
    <w:pPr>
      <w:tabs>
        <w:tab w:val="center" w:pos="4153"/>
        <w:tab w:val="right" w:pos="8306"/>
      </w:tabs>
      <w:snapToGrid w:val="0"/>
    </w:pPr>
    <w:rPr>
      <w:sz w:val="18"/>
      <w:szCs w:val="18"/>
    </w:rPr>
  </w:style>
  <w:style w:type="paragraph" w:styleId="12">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character" w:styleId="15">
    <w:name w:val="Strong"/>
    <w:qFormat/>
    <w:uiPriority w:val="22"/>
    <w:rPr>
      <w:b/>
      <w:bCs/>
    </w:rPr>
  </w:style>
  <w:style w:type="character" w:customStyle="1" w:styleId="16">
    <w:name w:val="标题 2 Char"/>
    <w:link w:val="3"/>
    <w:uiPriority w:val="9"/>
    <w:rPr>
      <w:rFonts w:ascii="Cambria" w:hAnsi="Cambria" w:eastAsia="宋体" w:cs="Times New Roman"/>
      <w:b/>
      <w:bCs/>
      <w:color w:val="4F81BD"/>
      <w:sz w:val="26"/>
      <w:szCs w:val="26"/>
    </w:rPr>
  </w:style>
  <w:style w:type="character" w:customStyle="1" w:styleId="17">
    <w:name w:val="标题 3 Char"/>
    <w:link w:val="4"/>
    <w:uiPriority w:val="9"/>
    <w:rPr>
      <w:rFonts w:ascii="Cambria" w:hAnsi="Cambria" w:eastAsia="宋体" w:cs="Times New Roman"/>
      <w:b/>
      <w:bCs/>
      <w:color w:val="4F81BD"/>
    </w:rPr>
  </w:style>
  <w:style w:type="character" w:customStyle="1" w:styleId="18">
    <w:name w:val="标题 4 Char"/>
    <w:link w:val="5"/>
    <w:uiPriority w:val="9"/>
    <w:rPr>
      <w:rFonts w:ascii="Cambria" w:hAnsi="Cambria" w:eastAsia="宋体" w:cs="Times New Roman"/>
      <w:b/>
      <w:bCs/>
      <w:i/>
      <w:iCs/>
      <w:color w:val="4F81BD"/>
    </w:rPr>
  </w:style>
  <w:style w:type="character" w:customStyle="1" w:styleId="19">
    <w:name w:val="标题 5 Char"/>
    <w:link w:val="6"/>
    <w:uiPriority w:val="9"/>
    <w:rPr>
      <w:rFonts w:ascii="Cambria" w:hAnsi="Cambria" w:eastAsia="宋体" w:cs="Times New Roman"/>
      <w:color w:val="243F60"/>
    </w:rPr>
  </w:style>
  <w:style w:type="character" w:customStyle="1" w:styleId="20">
    <w:name w:val="标题 6 Char"/>
    <w:link w:val="7"/>
    <w:uiPriority w:val="9"/>
    <w:rPr>
      <w:rFonts w:ascii="Cambria" w:hAnsi="Cambria" w:eastAsia="宋体" w:cs="Times New Roman"/>
      <w:i/>
      <w:iCs/>
      <w:color w:val="243F60"/>
    </w:rPr>
  </w:style>
  <w:style w:type="character" w:customStyle="1" w:styleId="21">
    <w:name w:val="标题 7 Char"/>
    <w:link w:val="8"/>
    <w:uiPriority w:val="9"/>
    <w:rPr>
      <w:rFonts w:ascii="Cambria" w:hAnsi="Cambria" w:eastAsia="宋体" w:cs="Times New Roman"/>
      <w:i/>
      <w:iCs/>
      <w:color w:val="404040"/>
    </w:rPr>
  </w:style>
  <w:style w:type="character" w:customStyle="1" w:styleId="22">
    <w:name w:val="标题 8 Char"/>
    <w:link w:val="9"/>
    <w:uiPriority w:val="9"/>
    <w:rPr>
      <w:rFonts w:ascii="Cambria" w:hAnsi="Cambria" w:eastAsia="宋体" w:cs="Times New Roman"/>
      <w:color w:val="404040"/>
      <w:sz w:val="20"/>
      <w:szCs w:val="20"/>
    </w:rPr>
  </w:style>
  <w:style w:type="character" w:customStyle="1" w:styleId="23">
    <w:name w:val="标题 9 Char"/>
    <w:link w:val="10"/>
    <w:uiPriority w:val="9"/>
    <w:rPr>
      <w:rFonts w:ascii="Cambria" w:hAnsi="Cambria" w:eastAsia="宋体" w:cs="Times New Roman"/>
      <w:i/>
      <w:iCs/>
      <w:color w:val="404040"/>
      <w:sz w:val="20"/>
      <w:szCs w:val="20"/>
    </w:rPr>
  </w:style>
  <w:style w:type="character" w:customStyle="1" w:styleId="24">
    <w:name w:val="页脚 Char"/>
    <w:link w:val="11"/>
    <w:semiHidden/>
    <w:uiPriority w:val="99"/>
    <w:rPr>
      <w:sz w:val="18"/>
      <w:szCs w:val="18"/>
      <w:lang w:val="zh-CN" w:eastAsia="en-US"/>
    </w:rPr>
  </w:style>
  <w:style w:type="character" w:customStyle="1" w:styleId="25">
    <w:name w:val="页眉 Char"/>
    <w:link w:val="12"/>
    <w:semiHidden/>
    <w:uiPriority w:val="99"/>
    <w:rPr>
      <w:sz w:val="18"/>
      <w:szCs w:val="18"/>
      <w:lang w:val="zh-CN" w:eastAsia="en-US"/>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1272</Words>
  <Characters>1299</Characters>
  <Lines>118</Lines>
  <Paragraphs>171</Paragraphs>
  <TotalTime>0</TotalTime>
  <ScaleCrop>false</ScaleCrop>
  <LinksUpToDate>false</LinksUpToDate>
  <CharactersWithSpaces>2400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2014-09-23T01:04:00Z</dcterms:created>
  <dc:creator>Administrator</dc:creator>
  <cp:lastModifiedBy>vertesyuan</cp:lastModifiedBy>
  <dcterms:modified xsi:type="dcterms:W3CDTF">2024-10-10T09:02:41Z</dcterms:modified>
  <dc:title>2014年中国人民大学专业学位研究生《431金融学综合》考试大纲</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8EA28B7C9890495FAB5931A4F9E23369_13</vt:lpwstr>
  </property>
</Properties>
</file>