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624"/>
        <w:spacing w:before="180" w:line="220" w:lineRule="auto"/>
        <w:outlineLvl w:val="0"/>
        <w:rPr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spacing w:val="-1"/>
        </w:rPr>
        <w:t>431  </w:t>
      </w:r>
      <w:r>
        <w:rPr>
          <w:sz w:val="28"/>
          <w:szCs w:val="28"/>
          <w:b/>
          <w:bCs/>
          <w:spacing w:val="-1"/>
        </w:rPr>
        <w:t>金融学综合考试大纲</w:t>
      </w:r>
    </w:p>
    <w:p>
      <w:pPr>
        <w:pStyle w:val="BodyText"/>
        <w:ind w:left="27"/>
        <w:spacing w:before="231" w:line="220" w:lineRule="auto"/>
        <w:outlineLvl w:val="1"/>
        <w:rPr/>
      </w:pPr>
      <w:r>
        <w:rPr>
          <w:b/>
          <w:bCs/>
          <w:color w:val="333333"/>
          <w:spacing w:val="-4"/>
        </w:rPr>
        <w:t>一、</w:t>
      </w:r>
      <w:r>
        <w:rPr>
          <w:color w:val="333333"/>
          <w:spacing w:val="-4"/>
        </w:rPr>
        <w:t xml:space="preserve"> </w:t>
      </w:r>
      <w:r>
        <w:rPr>
          <w:b/>
          <w:bCs/>
          <w:color w:val="333333"/>
          <w:spacing w:val="-4"/>
        </w:rPr>
        <w:t>考试目的</w:t>
      </w:r>
    </w:p>
    <w:p>
      <w:pPr>
        <w:pStyle w:val="BodyText"/>
        <w:ind w:left="22" w:firstLine="481"/>
        <w:spacing w:before="182" w:line="351" w:lineRule="auto"/>
        <w:jc w:val="both"/>
        <w:rPr/>
      </w:pPr>
      <w:r>
        <w:rPr>
          <w:color w:val="333333"/>
          <w:spacing w:val="-1"/>
        </w:rPr>
        <w:t>《金融学综合》是金融硕士（专业学位）入学考试专业基础综合笔试科目，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3"/>
        </w:rPr>
        <w:t>考试范围包括《货币银行学》和《财务管理学》两门课程的基础知识。考查考生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对于与货币银行学和财务管理学相关的基本概念、基础理论的掌握和运用能力。</w:t>
      </w:r>
    </w:p>
    <w:p>
      <w:pPr>
        <w:pStyle w:val="BodyText"/>
        <w:ind w:left="27"/>
        <w:spacing w:before="34" w:line="220" w:lineRule="auto"/>
        <w:outlineLvl w:val="1"/>
        <w:rPr/>
      </w:pPr>
      <w:r>
        <w:rPr>
          <w:b/>
          <w:bCs/>
          <w:color w:val="333333"/>
          <w:spacing w:val="-3"/>
        </w:rPr>
        <w:t>二、</w:t>
      </w:r>
      <w:r>
        <w:rPr>
          <w:color w:val="333333"/>
          <w:spacing w:val="-3"/>
        </w:rPr>
        <w:t xml:space="preserve"> </w:t>
      </w:r>
      <w:r>
        <w:rPr>
          <w:b/>
          <w:bCs/>
          <w:color w:val="333333"/>
          <w:spacing w:val="-3"/>
        </w:rPr>
        <w:t>考试形式与试卷结构</w:t>
      </w:r>
    </w:p>
    <w:p>
      <w:pPr>
        <w:pStyle w:val="BodyText"/>
        <w:ind w:left="512"/>
        <w:spacing w:before="181" w:line="220" w:lineRule="auto"/>
        <w:outlineLvl w:val="2"/>
        <w:rPr/>
      </w:pPr>
      <w:r>
        <w:rPr>
          <w:b/>
          <w:bCs/>
          <w:color w:val="333333"/>
          <w:spacing w:val="-4"/>
        </w:rPr>
        <w:t>（一）试卷满分与考试时间</w:t>
      </w:r>
    </w:p>
    <w:p>
      <w:pPr>
        <w:pStyle w:val="BodyText"/>
        <w:ind w:left="510"/>
        <w:spacing w:before="182" w:line="220" w:lineRule="auto"/>
        <w:rPr/>
      </w:pPr>
      <w:r>
        <w:rPr>
          <w:color w:val="333333"/>
          <w:spacing w:val="-2"/>
        </w:rPr>
        <w:t>总分：150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2"/>
        </w:rPr>
        <w:t>分， 考试时间：</w:t>
      </w:r>
      <w:r>
        <w:rPr>
          <w:spacing w:val="-2"/>
        </w:rPr>
        <w:t>180</w:t>
      </w:r>
      <w:r>
        <w:rPr>
          <w:spacing w:val="-48"/>
        </w:rPr>
        <w:t xml:space="preserve"> </w:t>
      </w:r>
      <w:r>
        <w:rPr>
          <w:spacing w:val="-2"/>
        </w:rPr>
        <w:t>分钟</w:t>
      </w:r>
    </w:p>
    <w:p>
      <w:pPr>
        <w:pStyle w:val="BodyText"/>
        <w:ind w:left="510"/>
        <w:spacing w:before="183" w:line="220" w:lineRule="auto"/>
        <w:outlineLvl w:val="2"/>
        <w:rPr/>
      </w:pPr>
      <w:r>
        <w:rPr>
          <w:b/>
          <w:bCs/>
          <w:color w:val="333333"/>
          <w:spacing w:val="-12"/>
        </w:rPr>
        <w:t>（二）</w:t>
      </w:r>
      <w:r>
        <w:rPr>
          <w:color w:val="333333"/>
          <w:spacing w:val="-67"/>
        </w:rPr>
        <w:t xml:space="preserve"> </w:t>
      </w:r>
      <w:r>
        <w:rPr>
          <w:b/>
          <w:bCs/>
          <w:color w:val="333333"/>
          <w:spacing w:val="-12"/>
        </w:rPr>
        <w:t>考试方式</w:t>
      </w:r>
    </w:p>
    <w:p>
      <w:pPr>
        <w:pStyle w:val="BodyText"/>
        <w:ind w:left="527"/>
        <w:spacing w:before="183" w:line="221" w:lineRule="auto"/>
        <w:rPr/>
      </w:pPr>
      <w:r>
        <w:rPr>
          <w:color w:val="333333"/>
          <w:spacing w:val="-6"/>
        </w:rPr>
        <w:t>闭卷、笔试</w:t>
      </w:r>
    </w:p>
    <w:p>
      <w:pPr>
        <w:pStyle w:val="BodyText"/>
        <w:ind w:left="510"/>
        <w:spacing w:before="180" w:line="220" w:lineRule="auto"/>
        <w:outlineLvl w:val="2"/>
        <w:rPr/>
      </w:pPr>
      <w:r>
        <w:rPr>
          <w:b/>
          <w:bCs/>
          <w:color w:val="333333"/>
          <w:spacing w:val="-11"/>
        </w:rPr>
        <w:t>（三）</w:t>
      </w:r>
      <w:r>
        <w:rPr>
          <w:color w:val="333333"/>
          <w:spacing w:val="-66"/>
        </w:rPr>
        <w:t xml:space="preserve"> </w:t>
      </w:r>
      <w:r>
        <w:rPr>
          <w:b/>
          <w:bCs/>
          <w:color w:val="333333"/>
          <w:spacing w:val="-11"/>
        </w:rPr>
        <w:t>试卷内容结构</w:t>
      </w:r>
    </w:p>
    <w:p>
      <w:pPr>
        <w:pStyle w:val="BodyText"/>
        <w:ind w:left="503"/>
        <w:spacing w:before="182" w:line="219" w:lineRule="auto"/>
        <w:rPr/>
      </w:pPr>
      <w:r>
        <w:rPr>
          <w:color w:val="333333"/>
          <w:spacing w:val="-2"/>
        </w:rPr>
        <w:t>第一部分   货币银行学（90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-2"/>
        </w:rPr>
        <w:t>分）</w:t>
      </w:r>
    </w:p>
    <w:p>
      <w:pPr>
        <w:pStyle w:val="BodyText"/>
        <w:ind w:left="503"/>
        <w:spacing w:before="183" w:line="220" w:lineRule="auto"/>
        <w:rPr/>
      </w:pPr>
      <w:r>
        <w:rPr>
          <w:color w:val="333333"/>
          <w:spacing w:val="-2"/>
        </w:rPr>
        <w:t>第二部分   财务管理学（60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-2"/>
        </w:rPr>
        <w:t>分）</w:t>
      </w:r>
    </w:p>
    <w:p>
      <w:pPr>
        <w:pStyle w:val="BodyText"/>
        <w:ind w:left="479"/>
        <w:spacing w:before="182" w:line="219" w:lineRule="auto"/>
        <w:outlineLvl w:val="2"/>
        <w:rPr/>
      </w:pPr>
      <w:r>
        <w:rPr>
          <w:b/>
          <w:bCs/>
          <w:color w:val="333333"/>
          <w:spacing w:val="-5"/>
        </w:rPr>
        <w:t>（四）试卷题型与参考教材（参考书仅供参考，具体</w:t>
      </w:r>
      <w:r>
        <w:rPr>
          <w:b/>
          <w:bCs/>
          <w:color w:val="333333"/>
          <w:spacing w:val="-6"/>
        </w:rPr>
        <w:t>内容以考试大纲为准）</w:t>
      </w:r>
    </w:p>
    <w:p>
      <w:pPr>
        <w:pStyle w:val="BodyText"/>
        <w:ind w:left="25" w:right="5397" w:firstLine="428"/>
        <w:spacing w:before="185" w:line="289" w:lineRule="auto"/>
        <w:rPr/>
      </w:pPr>
      <w:r>
        <w:rPr>
          <w:rFonts w:ascii="Wingdings" w:hAnsi="Wingdings" w:eastAsia="Wingdings" w:cs="Wingdings"/>
          <w:color w:val="333333"/>
          <w:spacing w:val="-3"/>
        </w:rPr>
        <w:t>l </w:t>
      </w:r>
      <w:r>
        <w:rPr>
          <w:color w:val="333333"/>
          <w:spacing w:val="-3"/>
        </w:rPr>
        <w:t>《货币银行学》部分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1"/>
        </w:rPr>
        <w:t>参考教材：</w:t>
      </w:r>
    </w:p>
    <w:p>
      <w:pPr>
        <w:pStyle w:val="BodyText"/>
        <w:ind w:left="28" w:right="105" w:firstLine="32"/>
        <w:spacing w:before="183" w:line="290" w:lineRule="auto"/>
        <w:rPr/>
      </w:pPr>
      <w:r>
        <w:rPr>
          <w:color w:val="333333"/>
          <w:spacing w:val="-4"/>
        </w:rPr>
        <w:t>[1]弗雷德里克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·S.米什金《货币金融学》（第十二版）[M].北京：中国人民大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学出版社，2021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1"/>
        </w:rPr>
        <w:t>年.</w:t>
      </w:r>
    </w:p>
    <w:p>
      <w:pPr>
        <w:pStyle w:val="BodyText"/>
        <w:ind w:left="461" w:right="165" w:hanging="400"/>
        <w:spacing w:before="182" w:line="290" w:lineRule="auto"/>
        <w:rPr/>
      </w:pPr>
      <w:r>
        <w:rPr>
          <w:color w:val="333333"/>
          <w:spacing w:val="-1"/>
        </w:rPr>
        <w:t>[2]凌江怀，《金融学概论》（第四版）[M].</w:t>
      </w:r>
      <w:r>
        <w:rPr>
          <w:color w:val="333333"/>
          <w:spacing w:val="-2"/>
        </w:rPr>
        <w:t>北京：高等教育出版社，2020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2"/>
        </w:rPr>
        <w:t>年.</w:t>
      </w:r>
      <w:r>
        <w:rPr>
          <w:color w:val="333333"/>
        </w:rPr>
        <w:t xml:space="preserve"> </w:t>
      </w:r>
      <w:r>
        <w:rPr>
          <w:color w:val="333333"/>
          <w:spacing w:val="-6"/>
        </w:rPr>
        <w:t>1.判断题</w:t>
      </w:r>
    </w:p>
    <w:p>
      <w:pPr>
        <w:pStyle w:val="BodyText"/>
        <w:ind w:left="447" w:right="7006" w:hanging="1"/>
        <w:spacing w:before="182" w:line="348" w:lineRule="auto"/>
        <w:rPr/>
      </w:pPr>
      <w:r>
        <w:rPr>
          <w:color w:val="333333"/>
          <w:spacing w:val="-3"/>
        </w:rPr>
        <w:t>2.简答题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3"/>
        </w:rPr>
        <w:t>3.论述题</w:t>
      </w:r>
    </w:p>
    <w:p>
      <w:pPr>
        <w:pStyle w:val="BodyText"/>
        <w:ind w:left="25" w:right="5397" w:firstLine="428"/>
        <w:spacing w:before="33" w:line="346" w:lineRule="auto"/>
        <w:rPr/>
      </w:pPr>
      <w:r>
        <w:rPr>
          <w:rFonts w:ascii="Wingdings" w:hAnsi="Wingdings" w:eastAsia="Wingdings" w:cs="Wingdings"/>
          <w:color w:val="333333"/>
          <w:spacing w:val="-3"/>
        </w:rPr>
        <w:t>l </w:t>
      </w:r>
      <w:r>
        <w:rPr>
          <w:color w:val="333333"/>
          <w:spacing w:val="-3"/>
        </w:rPr>
        <w:t>《财务管理学》部分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1"/>
        </w:rPr>
        <w:t>参考教材：</w:t>
      </w:r>
    </w:p>
    <w:p>
      <w:pPr>
        <w:pStyle w:val="BodyText"/>
        <w:ind w:left="25"/>
        <w:spacing w:before="36" w:line="219" w:lineRule="auto"/>
        <w:rPr/>
      </w:pPr>
      <w:r>
        <w:rPr>
          <w:color w:val="333333"/>
          <w:spacing w:val="-2"/>
        </w:rPr>
        <w:t>王化成、刘俊彦、荆新. 《财务管理学》（第</w:t>
      </w:r>
      <w:r>
        <w:rPr>
          <w:color w:val="333333"/>
          <w:spacing w:val="-29"/>
        </w:rPr>
        <w:t xml:space="preserve"> </w:t>
      </w:r>
      <w:r>
        <w:rPr>
          <w:color w:val="333333"/>
          <w:spacing w:val="-2"/>
        </w:rPr>
        <w:t>9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2"/>
        </w:rPr>
        <w:t>版）[M].中国人民大学出版社，</w:t>
      </w:r>
    </w:p>
    <w:p>
      <w:pPr>
        <w:pStyle w:val="BodyText"/>
        <w:ind w:left="26"/>
        <w:spacing w:before="183" w:line="220" w:lineRule="auto"/>
        <w:rPr/>
      </w:pPr>
      <w:r>
        <w:rPr>
          <w:color w:val="333333"/>
          <w:spacing w:val="-2"/>
        </w:rPr>
        <w:t>2021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2"/>
        </w:rPr>
        <w:t>年.</w:t>
      </w:r>
    </w:p>
    <w:p>
      <w:pPr>
        <w:pStyle w:val="BodyText"/>
        <w:ind w:left="446" w:right="6526" w:firstLine="14"/>
        <w:spacing w:before="182" w:line="347" w:lineRule="auto"/>
        <w:rPr/>
      </w:pPr>
      <w:r>
        <w:rPr>
          <w:color w:val="333333"/>
          <w:spacing w:val="-4"/>
        </w:rPr>
        <w:t>1.判断分析题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2.计算题</w:t>
      </w:r>
    </w:p>
    <w:p>
      <w:pPr>
        <w:pStyle w:val="BodyText"/>
        <w:ind w:left="448"/>
        <w:spacing w:before="34" w:line="219" w:lineRule="auto"/>
        <w:rPr/>
      </w:pPr>
      <w:r>
        <w:rPr>
          <w:color w:val="333333"/>
          <w:spacing w:val="-2"/>
        </w:rPr>
        <w:t>3.材料分析题</w:t>
      </w:r>
    </w:p>
    <w:p>
      <w:pPr>
        <w:spacing w:line="219" w:lineRule="auto"/>
        <w:sectPr>
          <w:footerReference w:type="default" r:id="rId1"/>
          <w:pgSz w:w="11907" w:h="16839"/>
          <w:pgMar w:top="1431" w:right="1719" w:bottom="1012" w:left="1785" w:header="0" w:footer="849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20" w:lineRule="auto"/>
        <w:outlineLvl w:val="1"/>
        <w:rPr/>
      </w:pPr>
      <w:r>
        <w:rPr>
          <w:b/>
          <w:bCs/>
          <w:color w:val="333333"/>
          <w:spacing w:val="-4"/>
        </w:rPr>
        <w:t>三、考试内容</w:t>
      </w:r>
    </w:p>
    <w:p>
      <w:pPr>
        <w:pStyle w:val="BodyText"/>
        <w:ind w:left="23"/>
        <w:spacing w:before="182" w:line="219" w:lineRule="auto"/>
        <w:rPr/>
      </w:pPr>
      <w:r>
        <w:rPr>
          <w:b/>
          <w:bCs/>
          <w:color w:val="333333"/>
          <w:spacing w:val="-3"/>
        </w:rPr>
        <w:t>第一部分：货币银行学</w:t>
      </w:r>
    </w:p>
    <w:p>
      <w:pPr>
        <w:pStyle w:val="BodyText"/>
        <w:ind w:left="30"/>
        <w:spacing w:before="183" w:line="219" w:lineRule="auto"/>
        <w:outlineLvl w:val="2"/>
        <w:rPr/>
      </w:pPr>
      <w:r>
        <w:rPr>
          <w:b/>
          <w:bCs/>
          <w:color w:val="333333"/>
          <w:spacing w:val="-5"/>
        </w:rPr>
        <w:t>（一）货币与货币制度</w:t>
      </w:r>
    </w:p>
    <w:p>
      <w:pPr>
        <w:pStyle w:val="BodyText"/>
        <w:ind w:left="41"/>
        <w:spacing w:before="183" w:line="219" w:lineRule="auto"/>
        <w:rPr/>
      </w:pPr>
      <w:r>
        <w:rPr>
          <w:color w:val="333333"/>
          <w:spacing w:val="-3"/>
        </w:rPr>
        <w:t>1．货币形式的演变</w:t>
      </w:r>
    </w:p>
    <w:p>
      <w:pPr>
        <w:pStyle w:val="BodyText"/>
        <w:ind w:left="26"/>
        <w:spacing w:before="183" w:line="219" w:lineRule="auto"/>
        <w:rPr/>
      </w:pPr>
      <w:r>
        <w:rPr>
          <w:color w:val="333333"/>
          <w:spacing w:val="-2"/>
        </w:rPr>
        <w:t>2．货币的职能</w:t>
      </w:r>
    </w:p>
    <w:p>
      <w:pPr>
        <w:pStyle w:val="BodyText"/>
        <w:ind w:left="22" w:right="5800" w:firstLine="5"/>
        <w:spacing w:before="184" w:line="289" w:lineRule="auto"/>
        <w:rPr/>
      </w:pPr>
      <w:r>
        <w:rPr>
          <w:color w:val="333333"/>
          <w:spacing w:val="-5"/>
        </w:rPr>
        <w:t>3.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5"/>
        </w:rPr>
        <w:t>国际货币体系的演变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4 .区块性货币一体化</w:t>
      </w:r>
    </w:p>
    <w:p>
      <w:pPr>
        <w:pStyle w:val="BodyText"/>
        <w:ind w:left="30"/>
        <w:spacing w:before="183" w:line="220" w:lineRule="auto"/>
        <w:outlineLvl w:val="2"/>
        <w:rPr/>
      </w:pPr>
      <w:r>
        <w:rPr>
          <w:b/>
          <w:bCs/>
          <w:color w:val="333333"/>
          <w:spacing w:val="-11"/>
        </w:rPr>
        <w:t>（二）</w:t>
      </w:r>
      <w:r>
        <w:rPr>
          <w:color w:val="333333"/>
          <w:spacing w:val="-70"/>
        </w:rPr>
        <w:t xml:space="preserve"> </w:t>
      </w:r>
      <w:r>
        <w:rPr>
          <w:b/>
          <w:bCs/>
          <w:color w:val="333333"/>
          <w:spacing w:val="-11"/>
        </w:rPr>
        <w:t>利息与利率</w:t>
      </w:r>
    </w:p>
    <w:p>
      <w:pPr>
        <w:pStyle w:val="BodyText"/>
        <w:ind w:left="41"/>
        <w:spacing w:before="182" w:line="220" w:lineRule="auto"/>
        <w:rPr/>
      </w:pPr>
      <w:r>
        <w:rPr>
          <w:color w:val="333333"/>
          <w:spacing w:val="-3"/>
        </w:rPr>
        <w:t>1．利率的经济功能</w:t>
      </w:r>
    </w:p>
    <w:p>
      <w:pPr>
        <w:pStyle w:val="BodyText"/>
        <w:ind w:left="26"/>
        <w:spacing w:before="182" w:line="220" w:lineRule="auto"/>
        <w:rPr/>
      </w:pPr>
      <w:r>
        <w:rPr>
          <w:color w:val="333333"/>
          <w:spacing w:val="-1"/>
        </w:rPr>
        <w:t>2. 利率的计量：单利与复利；现值与终值；连续复利</w:t>
      </w:r>
    </w:p>
    <w:p>
      <w:pPr>
        <w:pStyle w:val="BodyText"/>
        <w:ind w:left="28"/>
        <w:spacing w:before="182" w:line="220" w:lineRule="auto"/>
        <w:rPr/>
      </w:pPr>
      <w:r>
        <w:rPr>
          <w:color w:val="333333"/>
          <w:spacing w:val="-4"/>
        </w:rPr>
        <w:t>3. 西方主要学派的利率决定理论：</w:t>
      </w:r>
    </w:p>
    <w:p>
      <w:pPr>
        <w:pStyle w:val="BodyText"/>
        <w:ind w:left="30"/>
        <w:spacing w:before="182" w:line="220" w:lineRule="auto"/>
        <w:rPr/>
      </w:pPr>
      <w:r>
        <w:rPr>
          <w:color w:val="333333"/>
          <w:spacing w:val="-2"/>
        </w:rPr>
        <w:t>（1）古典学派的储蓄―投资理论</w:t>
      </w:r>
    </w:p>
    <w:p>
      <w:pPr>
        <w:pStyle w:val="BodyText"/>
        <w:ind w:left="30"/>
        <w:spacing w:before="182" w:line="220" w:lineRule="auto"/>
        <w:rPr/>
      </w:pPr>
      <w:r>
        <w:rPr>
          <w:color w:val="333333"/>
          <w:spacing w:val="-2"/>
        </w:rPr>
        <w:t>（2）凯恩斯的流动性偏好理论</w:t>
      </w:r>
    </w:p>
    <w:p>
      <w:pPr>
        <w:pStyle w:val="BodyText"/>
        <w:ind w:left="30"/>
        <w:spacing w:before="182" w:line="220" w:lineRule="auto"/>
        <w:rPr/>
      </w:pPr>
      <w:r>
        <w:rPr>
          <w:color w:val="333333"/>
          <w:spacing w:val="-3"/>
        </w:rPr>
        <w:t>（3）可贷资金理论和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-3"/>
        </w:rPr>
        <w:t>IS-LM 模型</w:t>
      </w:r>
    </w:p>
    <w:p>
      <w:pPr>
        <w:pStyle w:val="BodyText"/>
        <w:ind w:left="22"/>
        <w:spacing w:before="182" w:line="220" w:lineRule="auto"/>
        <w:outlineLvl w:val="3"/>
        <w:rPr/>
      </w:pPr>
      <w:r>
        <w:rPr>
          <w:color w:val="333333"/>
          <w:spacing w:val="-1"/>
        </w:rPr>
        <w:t>4. 利率的风险结构</w:t>
      </w:r>
    </w:p>
    <w:p>
      <w:pPr>
        <w:pStyle w:val="BodyText"/>
        <w:ind w:left="30"/>
        <w:spacing w:before="183" w:line="220" w:lineRule="auto"/>
        <w:rPr/>
      </w:pPr>
      <w:r>
        <w:rPr>
          <w:color w:val="333333"/>
          <w:spacing w:val="-4"/>
        </w:rPr>
        <w:t>（1）违约因素</w:t>
      </w:r>
    </w:p>
    <w:p>
      <w:pPr>
        <w:pStyle w:val="BodyText"/>
        <w:ind w:left="30"/>
        <w:spacing w:before="182" w:line="220" w:lineRule="auto"/>
        <w:rPr/>
      </w:pPr>
      <w:r>
        <w:rPr>
          <w:color w:val="333333"/>
          <w:spacing w:val="-4"/>
        </w:rPr>
        <w:t>（2）流动性因素</w:t>
      </w:r>
    </w:p>
    <w:p>
      <w:pPr>
        <w:pStyle w:val="BodyText"/>
        <w:ind w:left="30"/>
        <w:spacing w:before="182" w:line="220" w:lineRule="auto"/>
        <w:rPr/>
      </w:pPr>
      <w:r>
        <w:rPr>
          <w:color w:val="333333"/>
          <w:spacing w:val="-4"/>
        </w:rPr>
        <w:t>（3）税收因素</w:t>
      </w:r>
    </w:p>
    <w:p>
      <w:pPr>
        <w:pStyle w:val="BodyText"/>
        <w:ind w:left="28"/>
        <w:spacing w:before="182" w:line="220" w:lineRule="auto"/>
        <w:outlineLvl w:val="3"/>
        <w:rPr/>
      </w:pPr>
      <w:r>
        <w:rPr>
          <w:color w:val="333333"/>
          <w:spacing w:val="-2"/>
        </w:rPr>
        <w:t>5. 利率的期限结构</w:t>
      </w:r>
    </w:p>
    <w:p>
      <w:pPr>
        <w:pStyle w:val="BodyText"/>
        <w:ind w:left="30"/>
        <w:spacing w:before="182" w:line="220" w:lineRule="auto"/>
        <w:rPr/>
      </w:pPr>
      <w:r>
        <w:rPr>
          <w:color w:val="333333"/>
          <w:spacing w:val="-3"/>
        </w:rPr>
        <w:t>（1）利率的期限结构</w:t>
      </w:r>
    </w:p>
    <w:p>
      <w:pPr>
        <w:pStyle w:val="BodyText"/>
        <w:ind w:left="30"/>
        <w:spacing w:before="182" w:line="219" w:lineRule="auto"/>
        <w:rPr/>
      </w:pPr>
      <w:r>
        <w:rPr>
          <w:color w:val="333333"/>
          <w:spacing w:val="-1"/>
        </w:rPr>
        <w:t>（2）解释利率期限结构的理论：</w:t>
      </w:r>
      <w:r>
        <w:rPr>
          <w:spacing w:val="-1"/>
        </w:rPr>
        <w:t>理性预期理论与有效市场假说</w:t>
      </w:r>
    </w:p>
    <w:p>
      <w:pPr>
        <w:pStyle w:val="BodyText"/>
        <w:ind w:left="30"/>
        <w:spacing w:before="183" w:line="220" w:lineRule="auto"/>
        <w:outlineLvl w:val="2"/>
        <w:rPr/>
      </w:pPr>
      <w:r>
        <w:rPr>
          <w:b/>
          <w:bCs/>
          <w:color w:val="333333"/>
          <w:spacing w:val="-12"/>
        </w:rPr>
        <w:t>（三）</w:t>
      </w:r>
      <w:r>
        <w:rPr>
          <w:color w:val="333333"/>
          <w:spacing w:val="-67"/>
        </w:rPr>
        <w:t xml:space="preserve"> </w:t>
      </w:r>
      <w:r>
        <w:rPr>
          <w:b/>
          <w:bCs/>
          <w:color w:val="333333"/>
          <w:spacing w:val="-12"/>
        </w:rPr>
        <w:t>金融市场</w:t>
      </w:r>
    </w:p>
    <w:p>
      <w:pPr>
        <w:pStyle w:val="BodyText"/>
        <w:ind w:left="41"/>
        <w:spacing w:before="182" w:line="220" w:lineRule="auto"/>
        <w:rPr/>
      </w:pPr>
      <w:r>
        <w:rPr>
          <w:color w:val="333333"/>
          <w:spacing w:val="-3"/>
        </w:rPr>
        <w:t>1．金融市场的分类与功能</w:t>
      </w:r>
    </w:p>
    <w:p>
      <w:pPr>
        <w:pStyle w:val="BodyText"/>
        <w:ind w:left="26"/>
        <w:spacing w:before="183" w:line="220" w:lineRule="auto"/>
        <w:rPr/>
      </w:pPr>
      <w:r>
        <w:rPr>
          <w:color w:val="333333"/>
          <w:spacing w:val="-2"/>
        </w:rPr>
        <w:t>2．金融市场的构成</w:t>
      </w:r>
    </w:p>
    <w:p>
      <w:pPr>
        <w:pStyle w:val="BodyText"/>
        <w:ind w:left="28"/>
        <w:spacing w:before="182" w:line="219" w:lineRule="auto"/>
        <w:rPr/>
      </w:pPr>
      <w:r>
        <w:rPr>
          <w:color w:val="333333"/>
          <w:spacing w:val="-1"/>
        </w:rPr>
        <w:t>3. 金融衍生产品的基本功能</w:t>
      </w:r>
    </w:p>
    <w:p>
      <w:pPr>
        <w:pStyle w:val="BodyText"/>
        <w:ind w:left="22"/>
        <w:spacing w:before="183" w:line="220" w:lineRule="auto"/>
        <w:rPr/>
      </w:pPr>
      <w:r>
        <w:rPr>
          <w:color w:val="333333"/>
          <w:spacing w:val="-1"/>
        </w:rPr>
        <w:t>4. 金融衍生产品市场分类</w:t>
      </w:r>
    </w:p>
    <w:p>
      <w:pPr>
        <w:pStyle w:val="BodyText"/>
        <w:ind w:left="28"/>
        <w:spacing w:before="182" w:line="220" w:lineRule="auto"/>
        <w:rPr/>
      </w:pPr>
      <w:r>
        <w:rPr>
          <w:spacing w:val="-4"/>
        </w:rPr>
        <w:t>5.</w:t>
      </w:r>
      <w:r>
        <w:rPr>
          <w:spacing w:val="32"/>
        </w:rPr>
        <w:t xml:space="preserve"> </w:t>
      </w:r>
      <w:r>
        <w:rPr>
          <w:spacing w:val="-4"/>
        </w:rPr>
        <w:t>国际金融市场的构成</w:t>
      </w:r>
    </w:p>
    <w:p>
      <w:pPr>
        <w:pStyle w:val="BodyText"/>
        <w:ind w:left="30"/>
        <w:spacing w:before="182" w:line="219" w:lineRule="auto"/>
        <w:outlineLvl w:val="2"/>
        <w:rPr/>
      </w:pPr>
      <w:r>
        <w:rPr>
          <w:b/>
          <w:bCs/>
          <w:color w:val="333333"/>
          <w:spacing w:val="-7"/>
        </w:rPr>
        <w:t>（四）</w:t>
      </w:r>
      <w:r>
        <w:rPr>
          <w:color w:val="333333"/>
          <w:spacing w:val="-64"/>
        </w:rPr>
        <w:t xml:space="preserve"> </w:t>
      </w:r>
      <w:r>
        <w:rPr>
          <w:b/>
          <w:bCs/>
          <w:color w:val="333333"/>
          <w:spacing w:val="-7"/>
        </w:rPr>
        <w:t>金融机构和金融体系结构</w:t>
      </w:r>
    </w:p>
    <w:p>
      <w:pPr>
        <w:spacing w:line="219" w:lineRule="auto"/>
        <w:sectPr>
          <w:footerReference w:type="default" r:id="rId2"/>
          <w:pgSz w:w="11907" w:h="16839"/>
          <w:pgMar w:top="1431" w:right="1785" w:bottom="1013" w:left="1785" w:header="0" w:footer="849" w:gutter="0"/>
        </w:sectPr>
        <w:rPr/>
      </w:pPr>
    </w:p>
    <w:p>
      <w:pPr>
        <w:pStyle w:val="BodyText"/>
        <w:ind w:left="41"/>
        <w:spacing w:before="121" w:line="219" w:lineRule="auto"/>
        <w:rPr/>
      </w:pPr>
      <w:r>
        <w:rPr>
          <w:color w:val="333333"/>
          <w:spacing w:val="-2"/>
        </w:rPr>
        <w:t>1. 金融机构体系的基本构成</w:t>
      </w:r>
    </w:p>
    <w:p>
      <w:pPr>
        <w:pStyle w:val="BodyText"/>
        <w:ind w:left="26"/>
        <w:spacing w:before="183" w:line="219" w:lineRule="auto"/>
        <w:rPr/>
      </w:pPr>
      <w:r>
        <w:rPr>
          <w:color w:val="333333"/>
          <w:spacing w:val="-1"/>
        </w:rPr>
        <w:t>2. 非银行金融机构与银行金融机构的主要区别</w:t>
      </w:r>
    </w:p>
    <w:p>
      <w:pPr>
        <w:pStyle w:val="BodyText"/>
        <w:ind w:left="28"/>
        <w:spacing w:before="183" w:line="221" w:lineRule="auto"/>
        <w:rPr/>
      </w:pPr>
      <w:r>
        <w:rPr>
          <w:spacing w:val="-2"/>
        </w:rPr>
        <w:t>3. </w:t>
      </w:r>
      <w:r>
        <w:rPr>
          <w:color w:val="333333"/>
          <w:spacing w:val="-2"/>
        </w:rPr>
        <w:t>直接融资和间接融资</w:t>
      </w:r>
    </w:p>
    <w:p>
      <w:pPr>
        <w:pStyle w:val="BodyText"/>
        <w:ind w:left="22"/>
        <w:spacing w:before="181" w:line="220" w:lineRule="auto"/>
        <w:rPr/>
      </w:pPr>
      <w:r>
        <w:rPr>
          <w:color w:val="333333"/>
          <w:spacing w:val="-1"/>
        </w:rPr>
        <w:t>4. 影子银行的定义</w:t>
      </w:r>
    </w:p>
    <w:p>
      <w:pPr>
        <w:pStyle w:val="BodyText"/>
        <w:ind w:left="30"/>
        <w:spacing w:before="182" w:line="220" w:lineRule="auto"/>
        <w:outlineLvl w:val="2"/>
        <w:rPr/>
      </w:pPr>
      <w:r>
        <w:rPr>
          <w:b/>
          <w:bCs/>
          <w:color w:val="333333"/>
          <w:spacing w:val="-12"/>
        </w:rPr>
        <w:t>（五）</w:t>
      </w:r>
      <w:r>
        <w:rPr>
          <w:color w:val="333333"/>
          <w:spacing w:val="-67"/>
        </w:rPr>
        <w:t xml:space="preserve"> </w:t>
      </w:r>
      <w:r>
        <w:rPr>
          <w:b/>
          <w:bCs/>
          <w:color w:val="333333"/>
          <w:spacing w:val="-12"/>
        </w:rPr>
        <w:t>商业银行</w:t>
      </w:r>
    </w:p>
    <w:p>
      <w:pPr>
        <w:pStyle w:val="BodyText"/>
        <w:ind w:left="41"/>
        <w:spacing w:before="181" w:line="220" w:lineRule="auto"/>
        <w:rPr/>
      </w:pPr>
      <w:r>
        <w:rPr>
          <w:color w:val="333333"/>
          <w:spacing w:val="-2"/>
        </w:rPr>
        <w:t>1. 商业银行的主要组织形式</w:t>
      </w:r>
    </w:p>
    <w:p>
      <w:pPr>
        <w:pStyle w:val="BodyText"/>
        <w:ind w:left="26"/>
        <w:spacing w:before="182" w:line="220" w:lineRule="auto"/>
        <w:rPr/>
      </w:pPr>
      <w:r>
        <w:rPr>
          <w:color w:val="333333"/>
          <w:spacing w:val="-2"/>
        </w:rPr>
        <w:t>2. 商业银行的职能</w:t>
      </w:r>
    </w:p>
    <w:p>
      <w:pPr>
        <w:pStyle w:val="BodyText"/>
        <w:ind w:left="28"/>
        <w:spacing w:before="181" w:line="220" w:lineRule="auto"/>
        <w:rPr/>
      </w:pPr>
      <w:r>
        <w:rPr>
          <w:color w:val="333333"/>
          <w:spacing w:val="-1"/>
        </w:rPr>
        <w:t>3. 商业银行的资产与负债业务</w:t>
      </w:r>
    </w:p>
    <w:p>
      <w:pPr>
        <w:pStyle w:val="BodyText"/>
        <w:ind w:left="22"/>
        <w:spacing w:before="183" w:line="220" w:lineRule="auto"/>
        <w:rPr/>
      </w:pPr>
      <w:r>
        <w:rPr>
          <w:color w:val="333333"/>
          <w:spacing w:val="-1"/>
        </w:rPr>
        <w:t>4. 商业银行的中间业务和表外业务</w:t>
      </w:r>
    </w:p>
    <w:p>
      <w:pPr>
        <w:pStyle w:val="BodyText"/>
        <w:ind w:left="28"/>
        <w:spacing w:before="182" w:line="220" w:lineRule="auto"/>
        <w:rPr/>
      </w:pPr>
      <w:r>
        <w:rPr>
          <w:color w:val="333333"/>
          <w:spacing w:val="-1"/>
        </w:rPr>
        <w:t>5．商业银行的风险与经营管理原则</w:t>
      </w:r>
    </w:p>
    <w:p>
      <w:pPr>
        <w:pStyle w:val="BodyText"/>
        <w:ind w:left="25"/>
        <w:spacing w:before="182" w:line="219" w:lineRule="auto"/>
        <w:rPr/>
      </w:pPr>
      <w:r>
        <w:rPr>
          <w:color w:val="333333"/>
          <w:spacing w:val="-1"/>
        </w:rPr>
        <w:t>6. 商业银行存款货币的创造</w:t>
      </w:r>
    </w:p>
    <w:p>
      <w:pPr>
        <w:pStyle w:val="BodyText"/>
        <w:ind w:left="30"/>
        <w:spacing w:before="184" w:line="220" w:lineRule="auto"/>
        <w:outlineLvl w:val="2"/>
        <w:rPr/>
      </w:pPr>
      <w:r>
        <w:rPr>
          <w:b/>
          <w:bCs/>
          <w:color w:val="333333"/>
          <w:spacing w:val="-15"/>
        </w:rPr>
        <w:t>（六）</w:t>
      </w:r>
      <w:r>
        <w:rPr>
          <w:color w:val="333333"/>
          <w:spacing w:val="-46"/>
        </w:rPr>
        <w:t xml:space="preserve"> </w:t>
      </w:r>
      <w:r>
        <w:rPr>
          <w:b/>
          <w:bCs/>
          <w:color w:val="333333"/>
          <w:spacing w:val="-15"/>
        </w:rPr>
        <w:t>中央银行</w:t>
      </w:r>
    </w:p>
    <w:p>
      <w:pPr>
        <w:pStyle w:val="BodyText"/>
        <w:ind w:left="41"/>
        <w:spacing w:before="181" w:line="220" w:lineRule="auto"/>
        <w:rPr/>
      </w:pPr>
      <w:r>
        <w:rPr>
          <w:color w:val="333333"/>
          <w:spacing w:val="-6"/>
        </w:rPr>
        <w:t>1.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6"/>
        </w:rPr>
        <w:t>中央银行产生的原因</w:t>
      </w:r>
    </w:p>
    <w:p>
      <w:pPr>
        <w:pStyle w:val="BodyText"/>
        <w:ind w:left="26"/>
        <w:spacing w:before="182" w:line="220" w:lineRule="auto"/>
        <w:rPr/>
      </w:pPr>
      <w:r>
        <w:rPr>
          <w:color w:val="333333"/>
          <w:spacing w:val="-1"/>
        </w:rPr>
        <w:t>2．中央银行的特点</w:t>
      </w:r>
    </w:p>
    <w:p>
      <w:pPr>
        <w:pStyle w:val="BodyText"/>
        <w:ind w:left="28"/>
        <w:spacing w:before="183" w:line="220" w:lineRule="auto"/>
        <w:rPr/>
      </w:pPr>
      <w:r>
        <w:rPr>
          <w:color w:val="333333"/>
          <w:spacing w:val="-5"/>
        </w:rPr>
        <w:t>3.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5"/>
        </w:rPr>
        <w:t>中央银行的职能</w:t>
      </w:r>
    </w:p>
    <w:p>
      <w:pPr>
        <w:pStyle w:val="BodyText"/>
        <w:ind w:left="22"/>
        <w:spacing w:before="181" w:line="220" w:lineRule="auto"/>
        <w:rPr/>
      </w:pPr>
      <w:r>
        <w:rPr>
          <w:color w:val="333333"/>
          <w:spacing w:val="-4"/>
        </w:rPr>
        <w:t>4.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4"/>
        </w:rPr>
        <w:t>中央银行的制度类型</w:t>
      </w:r>
    </w:p>
    <w:p>
      <w:pPr>
        <w:pStyle w:val="BodyText"/>
        <w:ind w:left="28"/>
        <w:spacing w:before="183" w:line="220" w:lineRule="auto"/>
        <w:rPr/>
      </w:pPr>
      <w:r>
        <w:rPr>
          <w:color w:val="333333"/>
          <w:spacing w:val="-3"/>
        </w:rPr>
        <w:t>5.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3"/>
        </w:rPr>
        <w:t>中央银行的资产、负债与中间业务</w:t>
      </w:r>
    </w:p>
    <w:p>
      <w:pPr>
        <w:pStyle w:val="BodyText"/>
        <w:ind w:left="30"/>
        <w:spacing w:before="182" w:line="219" w:lineRule="auto"/>
        <w:outlineLvl w:val="2"/>
        <w:rPr/>
      </w:pPr>
      <w:r>
        <w:rPr>
          <w:b/>
          <w:bCs/>
          <w:color w:val="333333"/>
          <w:spacing w:val="-10"/>
        </w:rPr>
        <w:t>（七）</w:t>
      </w:r>
      <w:r>
        <w:rPr>
          <w:color w:val="333333"/>
          <w:spacing w:val="-60"/>
        </w:rPr>
        <w:t xml:space="preserve"> </w:t>
      </w:r>
      <w:r>
        <w:rPr>
          <w:b/>
          <w:bCs/>
          <w:color w:val="333333"/>
          <w:spacing w:val="-10"/>
        </w:rPr>
        <w:t>货币供求与均衡</w:t>
      </w:r>
    </w:p>
    <w:p>
      <w:pPr>
        <w:pStyle w:val="BodyText"/>
        <w:ind w:left="41"/>
        <w:spacing w:before="183" w:line="219" w:lineRule="auto"/>
        <w:outlineLvl w:val="3"/>
        <w:rPr/>
      </w:pPr>
      <w:r>
        <w:rPr>
          <w:color w:val="333333"/>
          <w:spacing w:val="-4"/>
        </w:rPr>
        <w:t>1．货币需求理论</w:t>
      </w:r>
    </w:p>
    <w:p>
      <w:pPr>
        <w:pStyle w:val="BodyText"/>
        <w:ind w:left="30"/>
        <w:spacing w:before="184" w:line="219" w:lineRule="auto"/>
        <w:rPr/>
      </w:pPr>
      <w:r>
        <w:rPr>
          <w:color w:val="333333"/>
          <w:spacing w:val="-3"/>
        </w:rPr>
        <w:t>（1）古典的货币数量学说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3"/>
        </w:rPr>
        <w:t>（2）凯恩斯的货币需求理论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2"/>
        </w:rPr>
        <w:t>（3）弗里德曼的货币需求理论</w:t>
      </w:r>
    </w:p>
    <w:p>
      <w:pPr>
        <w:pStyle w:val="BodyText"/>
        <w:ind w:left="26"/>
        <w:spacing w:before="184" w:line="219" w:lineRule="auto"/>
        <w:rPr/>
      </w:pPr>
      <w:r>
        <w:rPr>
          <w:color w:val="333333"/>
          <w:spacing w:val="-1"/>
        </w:rPr>
        <w:t>2．货币需求的决定因素</w:t>
      </w:r>
    </w:p>
    <w:p>
      <w:pPr>
        <w:pStyle w:val="BodyText"/>
        <w:ind w:left="28"/>
        <w:spacing w:before="183" w:line="219" w:lineRule="auto"/>
        <w:rPr/>
      </w:pPr>
      <w:r>
        <w:rPr>
          <w:color w:val="333333"/>
          <w:spacing w:val="-5"/>
        </w:rPr>
        <w:t>3.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5"/>
        </w:rPr>
        <w:t>货币供给</w:t>
      </w:r>
    </w:p>
    <w:p>
      <w:pPr>
        <w:pStyle w:val="BodyText"/>
        <w:ind w:left="30"/>
        <w:spacing w:before="184" w:line="219" w:lineRule="auto"/>
        <w:rPr/>
      </w:pPr>
      <w:r>
        <w:rPr>
          <w:color w:val="333333"/>
          <w:spacing w:val="-6"/>
        </w:rPr>
        <w:t>（1）基础货币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2"/>
        </w:rPr>
        <w:t>（2）货币的层次划分与货币乘数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3"/>
        </w:rPr>
        <w:t>（3）货币供给量的决定因素</w:t>
      </w:r>
    </w:p>
    <w:p>
      <w:pPr>
        <w:pStyle w:val="BodyText"/>
        <w:ind w:left="22"/>
        <w:spacing w:before="184" w:line="219" w:lineRule="auto"/>
        <w:outlineLvl w:val="3"/>
        <w:rPr/>
      </w:pPr>
      <w:r>
        <w:rPr>
          <w:color w:val="333333"/>
          <w:spacing w:val="-3"/>
        </w:rPr>
        <w:t>4.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3"/>
        </w:rPr>
        <w:t>货币供求均衡</w:t>
      </w:r>
    </w:p>
    <w:p>
      <w:pPr>
        <w:pStyle w:val="BodyText"/>
        <w:ind w:left="30"/>
        <w:spacing w:before="183" w:line="219" w:lineRule="auto"/>
        <w:outlineLvl w:val="4"/>
        <w:rPr/>
      </w:pPr>
      <w:r>
        <w:rPr>
          <w:color w:val="333333"/>
          <w:spacing w:val="-3"/>
        </w:rPr>
        <w:t>（1）货币均衡的含义</w:t>
      </w:r>
    </w:p>
    <w:p>
      <w:pPr>
        <w:spacing w:line="219" w:lineRule="auto"/>
        <w:sectPr>
          <w:footerReference w:type="default" r:id="rId3"/>
          <w:pgSz w:w="11907" w:h="16839"/>
          <w:pgMar w:top="1431" w:right="1785" w:bottom="1013" w:left="1785" w:header="0" w:footer="849" w:gutter="0"/>
        </w:sectPr>
        <w:rPr/>
      </w:pPr>
    </w:p>
    <w:p>
      <w:pPr>
        <w:pStyle w:val="BodyText"/>
        <w:ind w:left="30"/>
        <w:spacing w:before="121" w:line="219" w:lineRule="auto"/>
        <w:rPr/>
      </w:pPr>
      <w:r>
        <w:rPr>
          <w:color w:val="333333"/>
          <w:spacing w:val="-3"/>
        </w:rPr>
        <w:t>（2）货币均衡的实现机制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3"/>
        </w:rPr>
        <w:t>（3）货币均衡的实现条件</w:t>
      </w:r>
    </w:p>
    <w:p>
      <w:pPr>
        <w:pStyle w:val="BodyText"/>
        <w:ind w:left="28"/>
        <w:spacing w:before="183" w:line="219" w:lineRule="auto"/>
        <w:outlineLvl w:val="3"/>
        <w:rPr/>
      </w:pPr>
      <w:r>
        <w:rPr>
          <w:color w:val="333333"/>
          <w:spacing w:val="-1"/>
        </w:rPr>
        <w:t>5. 货币的对外均衡：国际收支均衡</w:t>
      </w:r>
    </w:p>
    <w:p>
      <w:pPr>
        <w:pStyle w:val="BodyText"/>
        <w:ind w:left="30"/>
        <w:spacing w:before="182" w:line="220" w:lineRule="auto"/>
        <w:rPr/>
      </w:pPr>
      <w:r>
        <w:rPr>
          <w:color w:val="333333"/>
          <w:spacing w:val="-3"/>
        </w:rPr>
        <w:t>（1）国际收支的概念</w:t>
      </w:r>
    </w:p>
    <w:p>
      <w:pPr>
        <w:pStyle w:val="BodyText"/>
        <w:ind w:left="30"/>
        <w:spacing w:before="182" w:line="220" w:lineRule="auto"/>
        <w:rPr/>
      </w:pPr>
      <w:r>
        <w:rPr>
          <w:color w:val="333333"/>
          <w:spacing w:val="-2"/>
        </w:rPr>
        <w:t>（2）国际收支平衡表的主要内容</w:t>
      </w:r>
    </w:p>
    <w:p>
      <w:pPr>
        <w:pStyle w:val="BodyText"/>
        <w:ind w:left="30"/>
        <w:spacing w:before="182" w:line="220" w:lineRule="auto"/>
        <w:rPr/>
      </w:pPr>
      <w:r>
        <w:rPr>
          <w:color w:val="333333"/>
          <w:spacing w:val="-2"/>
        </w:rPr>
        <w:t>（3）国际收支调节的主要方式</w:t>
      </w:r>
    </w:p>
    <w:p>
      <w:pPr>
        <w:pStyle w:val="BodyText"/>
        <w:ind w:left="30"/>
        <w:spacing w:before="182" w:line="219" w:lineRule="auto"/>
        <w:outlineLvl w:val="2"/>
        <w:rPr/>
      </w:pPr>
      <w:r>
        <w:rPr>
          <w:b/>
          <w:bCs/>
          <w:color w:val="333333"/>
          <w:spacing w:val="-8"/>
        </w:rPr>
        <w:t>（八）</w:t>
      </w:r>
      <w:r>
        <w:rPr>
          <w:color w:val="333333"/>
          <w:spacing w:val="-63"/>
        </w:rPr>
        <w:t xml:space="preserve"> </w:t>
      </w:r>
      <w:r>
        <w:rPr>
          <w:b/>
          <w:bCs/>
          <w:color w:val="333333"/>
          <w:spacing w:val="-8"/>
        </w:rPr>
        <w:t>通货膨胀与通货紧缩</w:t>
      </w:r>
    </w:p>
    <w:p>
      <w:pPr>
        <w:pStyle w:val="BodyText"/>
        <w:ind w:left="41"/>
        <w:spacing w:before="184" w:line="219" w:lineRule="auto"/>
        <w:outlineLvl w:val="3"/>
        <w:rPr/>
      </w:pPr>
      <w:r>
        <w:rPr>
          <w:color w:val="333333"/>
          <w:spacing w:val="-6"/>
        </w:rPr>
        <w:t>1.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6"/>
        </w:rPr>
        <w:t>通货膨胀</w:t>
      </w:r>
    </w:p>
    <w:p>
      <w:pPr>
        <w:pStyle w:val="BodyText"/>
        <w:ind w:left="30"/>
        <w:spacing w:before="184" w:line="219" w:lineRule="auto"/>
        <w:rPr/>
      </w:pPr>
      <w:r>
        <w:rPr>
          <w:color w:val="333333"/>
          <w:spacing w:val="-2"/>
        </w:rPr>
        <w:t>（1）通货膨胀的概念与度量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3"/>
        </w:rPr>
        <w:t>（2）通货膨胀的成因与类型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2"/>
        </w:rPr>
        <w:t>（3）通货膨胀的影响与效应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3"/>
        </w:rPr>
        <w:t>（4）通货膨胀的治理</w:t>
      </w:r>
    </w:p>
    <w:p>
      <w:pPr>
        <w:pStyle w:val="BodyText"/>
        <w:ind w:left="26"/>
        <w:spacing w:before="184" w:line="219" w:lineRule="auto"/>
        <w:outlineLvl w:val="3"/>
        <w:rPr/>
      </w:pPr>
      <w:r>
        <w:rPr>
          <w:color w:val="333333"/>
          <w:spacing w:val="-2"/>
        </w:rPr>
        <w:t>2．通货紧缩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2"/>
        </w:rPr>
        <w:t>（1）通货紧缩的概念与表现形式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4"/>
        </w:rPr>
        <w:t>（2）通货紧缩的成因</w:t>
      </w:r>
    </w:p>
    <w:p>
      <w:pPr>
        <w:pStyle w:val="BodyText"/>
        <w:ind w:left="30"/>
        <w:spacing w:before="184" w:line="219" w:lineRule="auto"/>
        <w:rPr/>
      </w:pPr>
      <w:r>
        <w:rPr>
          <w:color w:val="333333"/>
          <w:spacing w:val="-3"/>
        </w:rPr>
        <w:t>（3）通货紧缩的危害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3"/>
        </w:rPr>
        <w:t>（4）通货紧缩的治理</w:t>
      </w:r>
    </w:p>
    <w:p>
      <w:pPr>
        <w:pStyle w:val="BodyText"/>
        <w:ind w:left="30"/>
        <w:spacing w:before="184" w:line="219" w:lineRule="auto"/>
        <w:outlineLvl w:val="2"/>
        <w:rPr/>
      </w:pPr>
      <w:r>
        <w:rPr>
          <w:b/>
          <w:bCs/>
          <w:color w:val="333333"/>
          <w:spacing w:val="-12"/>
        </w:rPr>
        <w:t>（九）</w:t>
      </w:r>
      <w:r>
        <w:rPr>
          <w:color w:val="333333"/>
          <w:spacing w:val="-66"/>
        </w:rPr>
        <w:t xml:space="preserve"> </w:t>
      </w:r>
      <w:r>
        <w:rPr>
          <w:b/>
          <w:bCs/>
          <w:color w:val="333333"/>
          <w:spacing w:val="-12"/>
        </w:rPr>
        <w:t>货币政策</w:t>
      </w:r>
    </w:p>
    <w:p>
      <w:pPr>
        <w:pStyle w:val="BodyText"/>
        <w:ind w:left="41"/>
        <w:spacing w:before="183" w:line="219" w:lineRule="auto"/>
        <w:outlineLvl w:val="3"/>
        <w:rPr/>
      </w:pPr>
      <w:r>
        <w:rPr>
          <w:color w:val="333333"/>
          <w:spacing w:val="-3"/>
        </w:rPr>
        <w:t>1. 货币政策及其目标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3"/>
        </w:rPr>
        <w:t>（1）货币政策的目标</w:t>
      </w:r>
    </w:p>
    <w:p>
      <w:pPr>
        <w:pStyle w:val="BodyText"/>
        <w:ind w:left="30"/>
        <w:spacing w:before="184" w:line="219" w:lineRule="auto"/>
        <w:rPr/>
      </w:pPr>
      <w:r>
        <w:rPr>
          <w:color w:val="333333"/>
          <w:spacing w:val="-3"/>
        </w:rPr>
        <w:t>（2）货币政策诸目标的冲突</w:t>
      </w:r>
    </w:p>
    <w:p>
      <w:pPr>
        <w:pStyle w:val="BodyText"/>
        <w:ind w:left="30"/>
        <w:spacing w:before="183" w:line="219" w:lineRule="auto"/>
        <w:rPr/>
      </w:pPr>
      <w:r>
        <w:rPr>
          <w:color w:val="333333"/>
          <w:spacing w:val="-2"/>
        </w:rPr>
        <w:t>（3）货币政策目标的权衡与取舍</w:t>
      </w:r>
    </w:p>
    <w:p>
      <w:pPr>
        <w:pStyle w:val="BodyText"/>
        <w:ind w:left="26"/>
        <w:spacing w:before="183" w:line="219" w:lineRule="auto"/>
        <w:outlineLvl w:val="3"/>
        <w:rPr/>
      </w:pPr>
      <w:r>
        <w:rPr>
          <w:color w:val="333333"/>
          <w:spacing w:val="-2"/>
        </w:rPr>
        <w:t>2．货币政策工具</w:t>
      </w:r>
    </w:p>
    <w:p>
      <w:pPr>
        <w:pStyle w:val="BodyText"/>
        <w:ind w:left="30"/>
        <w:spacing w:before="184" w:line="220" w:lineRule="auto"/>
        <w:rPr/>
      </w:pPr>
      <w:r>
        <w:rPr>
          <w:color w:val="333333"/>
          <w:spacing w:val="-2"/>
        </w:rPr>
        <w:t>（1）一般性质政策工具</w:t>
      </w:r>
    </w:p>
    <w:p>
      <w:pPr>
        <w:pStyle w:val="BodyText"/>
        <w:ind w:left="30"/>
        <w:spacing w:before="182" w:line="219" w:lineRule="auto"/>
        <w:rPr/>
      </w:pPr>
      <w:r>
        <w:rPr>
          <w:color w:val="333333"/>
          <w:spacing w:val="-3"/>
        </w:rPr>
        <w:t>（2）选择性的货币政策工具</w:t>
      </w:r>
    </w:p>
    <w:p>
      <w:pPr>
        <w:pStyle w:val="BodyText"/>
        <w:ind w:left="28"/>
        <w:spacing w:before="183" w:line="219" w:lineRule="auto"/>
        <w:outlineLvl w:val="3"/>
        <w:rPr/>
      </w:pPr>
      <w:r>
        <w:rPr>
          <w:color w:val="333333"/>
          <w:spacing w:val="-2"/>
        </w:rPr>
        <w:t>3．货币政策的传导机制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20" w:lineRule="auto"/>
        <w:rPr/>
      </w:pPr>
      <w:r>
        <w:rPr>
          <w:b/>
          <w:bCs/>
          <w:spacing w:val="-3"/>
        </w:rPr>
        <w:t>第二部分：财务管理学</w:t>
      </w:r>
    </w:p>
    <w:p>
      <w:pPr>
        <w:pStyle w:val="BodyText"/>
        <w:ind w:left="30"/>
        <w:spacing w:before="182" w:line="227" w:lineRule="auto"/>
        <w:outlineLvl w:val="2"/>
        <w:rPr/>
      </w:pPr>
      <w:r>
        <w:rPr>
          <w:b/>
          <w:bCs/>
          <w:spacing w:val="-7"/>
        </w:rPr>
        <w:t>（一）</w:t>
      </w:r>
      <w:r>
        <w:rPr>
          <w:spacing w:val="14"/>
        </w:rPr>
        <w:t xml:space="preserve"> </w:t>
      </w:r>
      <w:r>
        <w:rPr>
          <w:b/>
          <w:bCs/>
          <w:spacing w:val="-7"/>
        </w:rPr>
        <w:t>总论</w:t>
      </w:r>
    </w:p>
    <w:p>
      <w:pPr>
        <w:spacing w:line="227" w:lineRule="auto"/>
        <w:sectPr>
          <w:footerReference w:type="default" r:id="rId4"/>
          <w:pgSz w:w="11907" w:h="16839"/>
          <w:pgMar w:top="1431" w:right="1785" w:bottom="1012" w:left="1785" w:header="0" w:footer="849" w:gutter="0"/>
        </w:sectPr>
        <w:rPr/>
      </w:pPr>
    </w:p>
    <w:p>
      <w:pPr>
        <w:pStyle w:val="BodyText"/>
        <w:ind w:left="41"/>
        <w:spacing w:before="121" w:line="220" w:lineRule="auto"/>
        <w:rPr/>
      </w:pPr>
      <w:r>
        <w:rPr>
          <w:color w:val="333333"/>
          <w:spacing w:val="-4"/>
        </w:rPr>
        <w:t>1.财务管理的目标</w:t>
      </w:r>
    </w:p>
    <w:p>
      <w:pPr>
        <w:pStyle w:val="BodyText"/>
        <w:ind w:left="27" w:right="5440" w:hanging="1"/>
        <w:spacing w:before="181" w:line="347" w:lineRule="auto"/>
        <w:rPr/>
      </w:pPr>
      <w:r>
        <w:rPr>
          <w:color w:val="333333"/>
          <w:spacing w:val="-1"/>
        </w:rPr>
        <w:t>2.企业组织形式与财务经理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3.财务管理环境</w:t>
      </w:r>
    </w:p>
    <w:p>
      <w:pPr>
        <w:pStyle w:val="BodyText"/>
        <w:ind w:left="30"/>
        <w:spacing w:before="34" w:line="218" w:lineRule="auto"/>
        <w:outlineLvl w:val="2"/>
        <w:rPr/>
      </w:pPr>
      <w:r>
        <w:rPr>
          <w:b/>
          <w:bCs/>
          <w:spacing w:val="-9"/>
        </w:rPr>
        <w:t>（二）</w:t>
      </w:r>
      <w:r>
        <w:rPr>
          <w:spacing w:val="-65"/>
        </w:rPr>
        <w:t xml:space="preserve"> </w:t>
      </w:r>
      <w:r>
        <w:rPr>
          <w:b/>
          <w:bCs/>
          <w:spacing w:val="-9"/>
        </w:rPr>
        <w:t>财务管理价值观念</w:t>
      </w:r>
    </w:p>
    <w:p>
      <w:pPr>
        <w:pStyle w:val="BodyText"/>
        <w:ind w:left="26" w:right="6640" w:firstLine="14"/>
        <w:spacing w:before="183" w:line="347" w:lineRule="auto"/>
        <w:rPr/>
      </w:pPr>
      <w:r>
        <w:rPr>
          <w:color w:val="333333"/>
          <w:spacing w:val="-4"/>
        </w:rPr>
        <w:t>1.货币时间价值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2.风险与报酬</w:t>
      </w:r>
    </w:p>
    <w:p>
      <w:pPr>
        <w:pStyle w:val="BodyText"/>
        <w:ind w:left="28"/>
        <w:spacing w:before="35" w:line="218" w:lineRule="auto"/>
        <w:rPr/>
      </w:pPr>
      <w:r>
        <w:rPr>
          <w:color w:val="333333"/>
          <w:spacing w:val="-3"/>
        </w:rPr>
        <w:t>3.证券估值</w:t>
      </w:r>
    </w:p>
    <w:p>
      <w:pPr>
        <w:pStyle w:val="BodyText"/>
        <w:ind w:left="30"/>
        <w:spacing w:before="184" w:line="220" w:lineRule="auto"/>
        <w:outlineLvl w:val="2"/>
        <w:rPr/>
      </w:pPr>
      <w:r>
        <w:rPr>
          <w:b/>
          <w:bCs/>
          <w:spacing w:val="-12"/>
        </w:rPr>
        <w:t>（三）</w:t>
      </w:r>
      <w:r>
        <w:rPr>
          <w:spacing w:val="-67"/>
        </w:rPr>
        <w:t xml:space="preserve"> </w:t>
      </w:r>
      <w:r>
        <w:rPr>
          <w:b/>
          <w:bCs/>
          <w:spacing w:val="-12"/>
        </w:rPr>
        <w:t>财务分析</w:t>
      </w:r>
    </w:p>
    <w:p>
      <w:pPr>
        <w:pStyle w:val="BodyText"/>
        <w:ind w:left="26" w:right="6640" w:firstLine="14"/>
        <w:spacing w:before="184" w:line="351" w:lineRule="auto"/>
        <w:jc w:val="both"/>
        <w:rPr/>
      </w:pPr>
      <w:r>
        <w:rPr>
          <w:spacing w:val="-4"/>
        </w:rPr>
        <w:t>1.财务能力分析</w:t>
      </w:r>
      <w:r>
        <w:rPr>
          <w:spacing w:val="3"/>
        </w:rPr>
        <w:t xml:space="preserve"> </w:t>
      </w:r>
      <w:r>
        <w:rPr>
          <w:spacing w:val="-2"/>
        </w:rPr>
        <w:t>2.财务趋势分析</w:t>
      </w:r>
      <w:r>
        <w:rPr>
          <w:spacing w:val="2"/>
        </w:rPr>
        <w:t xml:space="preserve"> </w:t>
      </w:r>
      <w:r>
        <w:rPr>
          <w:spacing w:val="-2"/>
        </w:rPr>
        <w:t>3.财务综合分析</w:t>
      </w:r>
    </w:p>
    <w:p>
      <w:pPr>
        <w:pStyle w:val="BodyText"/>
        <w:ind w:left="30"/>
        <w:spacing w:before="34" w:line="220" w:lineRule="auto"/>
        <w:outlineLvl w:val="2"/>
        <w:rPr/>
      </w:pPr>
      <w:r>
        <w:rPr>
          <w:b/>
          <w:bCs/>
          <w:spacing w:val="-9"/>
        </w:rPr>
        <w:t>（四）</w:t>
      </w:r>
      <w:r>
        <w:rPr>
          <w:spacing w:val="-71"/>
        </w:rPr>
        <w:t xml:space="preserve"> </w:t>
      </w:r>
      <w:r>
        <w:rPr>
          <w:b/>
          <w:bCs/>
          <w:spacing w:val="-9"/>
        </w:rPr>
        <w:t>财务战略与预算</w:t>
      </w:r>
    </w:p>
    <w:p>
      <w:pPr>
        <w:pStyle w:val="BodyText"/>
        <w:ind w:left="26" w:right="7120" w:firstLine="14"/>
        <w:spacing w:before="183" w:line="351" w:lineRule="auto"/>
        <w:jc w:val="both"/>
        <w:rPr/>
      </w:pPr>
      <w:r>
        <w:rPr>
          <w:spacing w:val="-5"/>
        </w:rPr>
        <w:t>1.财务战略</w:t>
      </w:r>
      <w:r>
        <w:rPr>
          <w:spacing w:val="1"/>
        </w:rPr>
        <w:t xml:space="preserve"> </w:t>
      </w:r>
      <w:r>
        <w:rPr>
          <w:spacing w:val="-3"/>
        </w:rPr>
        <w:t>2.财务预测</w:t>
      </w:r>
      <w:r>
        <w:rPr>
          <w:spacing w:val="4"/>
        </w:rPr>
        <w:t xml:space="preserve"> </w:t>
      </w:r>
      <w:r>
        <w:rPr>
          <w:spacing w:val="-3"/>
        </w:rPr>
        <w:t>3.财务预算</w:t>
      </w:r>
    </w:p>
    <w:p>
      <w:pPr>
        <w:pStyle w:val="BodyText"/>
        <w:ind w:left="30"/>
        <w:spacing w:before="34" w:line="220" w:lineRule="auto"/>
        <w:outlineLvl w:val="2"/>
        <w:rPr/>
      </w:pPr>
      <w:r>
        <w:rPr>
          <w:b/>
          <w:bCs/>
          <w:spacing w:val="-10"/>
        </w:rPr>
        <w:t>（五）</w:t>
      </w:r>
      <w:r>
        <w:rPr>
          <w:spacing w:val="-64"/>
        </w:rPr>
        <w:t xml:space="preserve"> </w:t>
      </w:r>
      <w:r>
        <w:rPr>
          <w:b/>
          <w:bCs/>
          <w:spacing w:val="-10"/>
        </w:rPr>
        <w:t>长期筹资方式</w:t>
      </w:r>
    </w:p>
    <w:p>
      <w:pPr>
        <w:pStyle w:val="BodyText"/>
        <w:ind w:left="41"/>
        <w:spacing w:before="182" w:line="220" w:lineRule="auto"/>
        <w:rPr/>
      </w:pPr>
      <w:r>
        <w:rPr>
          <w:spacing w:val="-5"/>
        </w:rPr>
        <w:t>1.长期筹资</w:t>
      </w:r>
    </w:p>
    <w:p>
      <w:pPr>
        <w:pStyle w:val="BodyText"/>
        <w:ind w:left="22" w:right="6880" w:firstLine="3"/>
        <w:spacing w:before="183" w:line="351" w:lineRule="auto"/>
        <w:rPr/>
      </w:pPr>
      <w:r>
        <w:rPr>
          <w:spacing w:val="-2"/>
        </w:rPr>
        <w:t>2.股权性筹资</w:t>
      </w:r>
      <w:r>
        <w:rPr/>
        <w:t xml:space="preserve"> </w:t>
      </w:r>
      <w:r>
        <w:rPr>
          <w:spacing w:val="-2"/>
        </w:rPr>
        <w:t>3.债务性筹资</w:t>
      </w:r>
      <w:r>
        <w:rPr>
          <w:spacing w:val="4"/>
        </w:rPr>
        <w:t xml:space="preserve"> </w:t>
      </w:r>
      <w:r>
        <w:rPr>
          <w:spacing w:val="-2"/>
        </w:rPr>
        <w:t>4.混合性筹资</w:t>
      </w:r>
    </w:p>
    <w:p>
      <w:pPr>
        <w:pStyle w:val="BodyText"/>
        <w:ind w:left="30"/>
        <w:spacing w:before="35" w:line="219" w:lineRule="auto"/>
        <w:outlineLvl w:val="2"/>
        <w:rPr/>
      </w:pPr>
      <w:r>
        <w:rPr>
          <w:b/>
          <w:bCs/>
          <w:spacing w:val="-11"/>
        </w:rPr>
        <w:t>（六）</w:t>
      </w:r>
      <w:r>
        <w:rPr>
          <w:spacing w:val="-55"/>
        </w:rPr>
        <w:t xml:space="preserve"> </w:t>
      </w:r>
      <w:r>
        <w:rPr>
          <w:b/>
          <w:bCs/>
          <w:spacing w:val="-11"/>
        </w:rPr>
        <w:t>资本结构决策</w:t>
      </w:r>
    </w:p>
    <w:p>
      <w:pPr>
        <w:pStyle w:val="BodyText"/>
        <w:ind w:left="26" w:right="6400" w:firstLine="14"/>
        <w:spacing w:before="184" w:line="346" w:lineRule="auto"/>
        <w:rPr/>
      </w:pPr>
      <w:r>
        <w:rPr>
          <w:spacing w:val="-4"/>
        </w:rPr>
        <w:t>1.资本结构的理论</w:t>
      </w:r>
      <w:r>
        <w:rPr>
          <w:spacing w:val="7"/>
        </w:rPr>
        <w:t xml:space="preserve"> </w:t>
      </w:r>
      <w:r>
        <w:rPr>
          <w:spacing w:val="-2"/>
        </w:rPr>
        <w:t>2.资本成本的测算</w:t>
      </w:r>
    </w:p>
    <w:p>
      <w:pPr>
        <w:pStyle w:val="BodyText"/>
        <w:ind w:left="22" w:right="5680" w:firstLine="5"/>
        <w:spacing w:before="35" w:line="347" w:lineRule="auto"/>
        <w:rPr/>
      </w:pPr>
      <w:r>
        <w:rPr>
          <w:spacing w:val="-2"/>
        </w:rPr>
        <w:t>3.杠杆利益与风险的衡量</w:t>
      </w:r>
      <w:r>
        <w:rPr>
          <w:spacing w:val="8"/>
        </w:rPr>
        <w:t xml:space="preserve"> </w:t>
      </w:r>
      <w:r>
        <w:rPr>
          <w:spacing w:val="-1"/>
        </w:rPr>
        <w:t>4.资本结构决策分析</w:t>
      </w:r>
    </w:p>
    <w:p>
      <w:pPr>
        <w:pStyle w:val="BodyText"/>
        <w:ind w:left="30"/>
        <w:spacing w:before="34" w:line="220" w:lineRule="auto"/>
        <w:outlineLvl w:val="2"/>
        <w:rPr/>
      </w:pPr>
      <w:r>
        <w:rPr>
          <w:b/>
          <w:bCs/>
          <w:spacing w:val="-10"/>
        </w:rPr>
        <w:t>（七）</w:t>
      </w:r>
      <w:r>
        <w:rPr>
          <w:spacing w:val="-64"/>
        </w:rPr>
        <w:t xml:space="preserve"> </w:t>
      </w:r>
      <w:r>
        <w:rPr>
          <w:b/>
          <w:bCs/>
          <w:spacing w:val="-10"/>
        </w:rPr>
        <w:t>投资决策原理</w:t>
      </w:r>
    </w:p>
    <w:p>
      <w:pPr>
        <w:pStyle w:val="BodyText"/>
        <w:ind w:left="41"/>
        <w:spacing w:before="183" w:line="220" w:lineRule="auto"/>
        <w:rPr/>
      </w:pPr>
      <w:r>
        <w:rPr>
          <w:spacing w:val="-5"/>
        </w:rPr>
        <w:t>1.长期投资</w:t>
      </w:r>
    </w:p>
    <w:p>
      <w:pPr>
        <w:pStyle w:val="BodyText"/>
        <w:ind w:left="27" w:right="5920" w:hanging="1"/>
        <w:spacing w:before="182" w:line="347" w:lineRule="auto"/>
        <w:rPr/>
      </w:pPr>
      <w:r>
        <w:rPr>
          <w:spacing w:val="-2"/>
        </w:rPr>
        <w:t>2.投资现金流量的分析</w:t>
      </w:r>
      <w:r>
        <w:rPr>
          <w:spacing w:val="8"/>
        </w:rPr>
        <w:t xml:space="preserve"> </w:t>
      </w:r>
      <w:r>
        <w:rPr>
          <w:spacing w:val="-2"/>
        </w:rPr>
        <w:t>3.折现现金流量方法</w:t>
      </w:r>
    </w:p>
    <w:p>
      <w:pPr>
        <w:spacing w:line="347" w:lineRule="auto"/>
        <w:sectPr>
          <w:footerReference w:type="default" r:id="rId5"/>
          <w:pgSz w:w="11907" w:h="16839"/>
          <w:pgMar w:top="1431" w:right="1785" w:bottom="1011" w:left="1785" w:header="0" w:footer="849" w:gutter="0"/>
        </w:sectPr>
        <w:rPr/>
      </w:pPr>
    </w:p>
    <w:p>
      <w:pPr>
        <w:pStyle w:val="BodyText"/>
        <w:ind w:left="27" w:right="5920" w:hanging="5"/>
        <w:spacing w:before="121" w:line="347" w:lineRule="auto"/>
        <w:rPr/>
      </w:pPr>
      <w:r>
        <w:rPr>
          <w:spacing w:val="-1"/>
        </w:rPr>
        <w:t>4.非折现现金流量方法</w:t>
      </w:r>
      <w:r>
        <w:rPr>
          <w:spacing w:val="1"/>
        </w:rPr>
        <w:t xml:space="preserve"> </w:t>
      </w:r>
      <w:r>
        <w:rPr>
          <w:spacing w:val="-2"/>
        </w:rPr>
        <w:t>5.投资决策指标的比较</w:t>
      </w:r>
    </w:p>
    <w:p>
      <w:pPr>
        <w:pStyle w:val="BodyText"/>
        <w:ind w:left="30"/>
        <w:spacing w:before="34" w:line="220" w:lineRule="auto"/>
        <w:outlineLvl w:val="2"/>
        <w:rPr/>
      </w:pPr>
      <w:r>
        <w:rPr>
          <w:b/>
          <w:bCs/>
          <w:spacing w:val="-10"/>
        </w:rPr>
        <w:t>（八）</w:t>
      </w:r>
      <w:r>
        <w:rPr>
          <w:spacing w:val="-64"/>
        </w:rPr>
        <w:t xml:space="preserve"> </w:t>
      </w:r>
      <w:r>
        <w:rPr>
          <w:b/>
          <w:bCs/>
          <w:spacing w:val="-10"/>
        </w:rPr>
        <w:t>投资决策实务</w:t>
      </w:r>
    </w:p>
    <w:p>
      <w:pPr>
        <w:pStyle w:val="BodyText"/>
        <w:ind w:left="26" w:right="5680" w:firstLine="14"/>
        <w:spacing w:before="181" w:line="347" w:lineRule="auto"/>
        <w:rPr/>
      </w:pPr>
      <w:r>
        <w:rPr>
          <w:spacing w:val="-3"/>
        </w:rPr>
        <w:t>1.现实中现金流量的计算</w:t>
      </w:r>
      <w:r>
        <w:rPr>
          <w:spacing w:val="7"/>
        </w:rPr>
        <w:t xml:space="preserve"> </w:t>
      </w:r>
      <w:r>
        <w:rPr>
          <w:spacing w:val="-2"/>
        </w:rPr>
        <w:t>2.项目投资决策</w:t>
      </w:r>
    </w:p>
    <w:p>
      <w:pPr>
        <w:pStyle w:val="BodyText"/>
        <w:ind w:left="28"/>
        <w:spacing w:before="33" w:line="220" w:lineRule="auto"/>
        <w:rPr/>
      </w:pPr>
      <w:r>
        <w:rPr>
          <w:spacing w:val="-2"/>
        </w:rPr>
        <w:t>3.风险投资决策</w:t>
      </w:r>
    </w:p>
    <w:p>
      <w:pPr>
        <w:pStyle w:val="BodyText"/>
        <w:ind w:left="30"/>
        <w:spacing w:before="182" w:line="220" w:lineRule="auto"/>
        <w:outlineLvl w:val="2"/>
        <w:rPr/>
      </w:pPr>
      <w:r>
        <w:rPr>
          <w:b/>
          <w:bCs/>
          <w:spacing w:val="-10"/>
        </w:rPr>
        <w:t>（九）</w:t>
      </w:r>
      <w:r>
        <w:rPr>
          <w:spacing w:val="-64"/>
        </w:rPr>
        <w:t xml:space="preserve"> </w:t>
      </w:r>
      <w:r>
        <w:rPr>
          <w:b/>
          <w:bCs/>
          <w:spacing w:val="-10"/>
        </w:rPr>
        <w:t>短期资产管理</w:t>
      </w:r>
    </w:p>
    <w:p>
      <w:pPr>
        <w:pStyle w:val="BodyText"/>
        <w:ind w:left="41"/>
        <w:spacing w:before="182" w:line="219" w:lineRule="auto"/>
        <w:rPr/>
      </w:pPr>
      <w:r>
        <w:rPr>
          <w:spacing w:val="-4"/>
        </w:rPr>
        <w:t>1.营运资本管理</w:t>
      </w:r>
    </w:p>
    <w:p>
      <w:pPr>
        <w:pStyle w:val="BodyText"/>
        <w:ind w:left="27" w:right="6160" w:hanging="1"/>
        <w:spacing w:before="183" w:line="347" w:lineRule="auto"/>
        <w:rPr/>
      </w:pPr>
      <w:r>
        <w:rPr>
          <w:spacing w:val="-2"/>
        </w:rPr>
        <w:t>2.短期资产管理政策</w:t>
      </w:r>
      <w:r>
        <w:rPr>
          <w:spacing w:val="6"/>
        </w:rPr>
        <w:t xml:space="preserve"> </w:t>
      </w:r>
      <w:r>
        <w:rPr>
          <w:spacing w:val="-3"/>
        </w:rPr>
        <w:t>3.现金管理</w:t>
      </w:r>
    </w:p>
    <w:p>
      <w:pPr>
        <w:pStyle w:val="BodyText"/>
        <w:ind w:left="27" w:right="6160" w:hanging="5"/>
        <w:spacing w:before="34" w:line="347" w:lineRule="auto"/>
        <w:rPr/>
      </w:pPr>
      <w:r>
        <w:rPr>
          <w:spacing w:val="-1"/>
        </w:rPr>
        <w:t>4.短期金融资产管理</w:t>
      </w:r>
      <w:r>
        <w:rPr/>
        <w:t xml:space="preserve"> </w:t>
      </w:r>
      <w:r>
        <w:rPr>
          <w:spacing w:val="-2"/>
        </w:rPr>
        <w:t>5.应收账款管理</w:t>
      </w:r>
    </w:p>
    <w:p>
      <w:pPr>
        <w:pStyle w:val="BodyText"/>
        <w:ind w:left="25"/>
        <w:spacing w:before="35" w:line="219" w:lineRule="auto"/>
        <w:rPr/>
      </w:pPr>
      <w:r>
        <w:rPr>
          <w:spacing w:val="-2"/>
        </w:rPr>
        <w:t>6.存货规划及控制</w:t>
      </w:r>
    </w:p>
    <w:p>
      <w:pPr>
        <w:pStyle w:val="BodyText"/>
        <w:ind w:left="30"/>
        <w:spacing w:before="182" w:line="220" w:lineRule="auto"/>
        <w:outlineLvl w:val="2"/>
        <w:rPr/>
      </w:pPr>
      <w:r>
        <w:rPr>
          <w:b/>
          <w:bCs/>
          <w:spacing w:val="-10"/>
        </w:rPr>
        <w:t>（十）</w:t>
      </w:r>
      <w:r>
        <w:rPr>
          <w:spacing w:val="-64"/>
        </w:rPr>
        <w:t xml:space="preserve"> </w:t>
      </w:r>
      <w:r>
        <w:rPr>
          <w:b/>
          <w:bCs/>
          <w:spacing w:val="-10"/>
        </w:rPr>
        <w:t>短期筹资管理</w:t>
      </w:r>
    </w:p>
    <w:p>
      <w:pPr>
        <w:pStyle w:val="BodyText"/>
        <w:ind w:left="26" w:right="6640" w:firstLine="14"/>
        <w:spacing w:before="182" w:line="347" w:lineRule="auto"/>
        <w:rPr/>
      </w:pPr>
      <w:r>
        <w:rPr>
          <w:spacing w:val="-4"/>
        </w:rPr>
        <w:t>1.短期筹资政策</w:t>
      </w:r>
      <w:r>
        <w:rPr>
          <w:spacing w:val="3"/>
        </w:rPr>
        <w:t xml:space="preserve"> </w:t>
      </w:r>
      <w:r>
        <w:rPr>
          <w:spacing w:val="-8"/>
        </w:rPr>
        <w:t>2.</w:t>
      </w:r>
      <w:r>
        <w:rPr>
          <w:spacing w:val="-68"/>
        </w:rPr>
        <w:t xml:space="preserve"> </w:t>
      </w:r>
      <w:r>
        <w:rPr>
          <w:spacing w:val="-8"/>
        </w:rPr>
        <w:t>自然性筹资</w:t>
      </w:r>
    </w:p>
    <w:p>
      <w:pPr>
        <w:pStyle w:val="BodyText"/>
        <w:ind w:left="22" w:right="6640" w:firstLine="5"/>
        <w:spacing w:before="35" w:line="347" w:lineRule="auto"/>
        <w:rPr/>
      </w:pPr>
      <w:r>
        <w:rPr>
          <w:spacing w:val="-2"/>
        </w:rPr>
        <w:t>3.短期借款筹资</w:t>
      </w:r>
      <w:r>
        <w:rPr/>
        <w:t xml:space="preserve"> </w:t>
      </w:r>
      <w:r>
        <w:rPr>
          <w:spacing w:val="-2"/>
        </w:rPr>
        <w:t>4.短期融资券</w:t>
      </w:r>
    </w:p>
    <w:p>
      <w:pPr>
        <w:pStyle w:val="BodyText"/>
        <w:ind w:left="30"/>
        <w:spacing w:before="34" w:line="220" w:lineRule="auto"/>
        <w:outlineLvl w:val="2"/>
        <w:rPr/>
      </w:pPr>
      <w:r>
        <w:rPr>
          <w:b/>
          <w:bCs/>
          <w:spacing w:val="-4"/>
        </w:rPr>
        <w:t>（十一）股利理论与政策</w:t>
      </w:r>
    </w:p>
    <w:p>
      <w:pPr>
        <w:pStyle w:val="BodyText"/>
        <w:ind w:left="26" w:right="6640" w:firstLine="14"/>
        <w:spacing w:before="181" w:line="348" w:lineRule="auto"/>
        <w:rPr/>
      </w:pPr>
      <w:r>
        <w:rPr>
          <w:spacing w:val="-4"/>
        </w:rPr>
        <w:t>1.股利及其理论</w:t>
      </w:r>
      <w:r>
        <w:rPr>
          <w:spacing w:val="3"/>
        </w:rPr>
        <w:t xml:space="preserve"> </w:t>
      </w:r>
      <w:r>
        <w:rPr>
          <w:spacing w:val="-3"/>
        </w:rPr>
        <w:t>2.股利理论</w:t>
      </w:r>
    </w:p>
    <w:p>
      <w:pPr>
        <w:pStyle w:val="BodyText"/>
        <w:ind w:left="28"/>
        <w:spacing w:before="33" w:line="220" w:lineRule="auto"/>
        <w:rPr/>
      </w:pPr>
      <w:r>
        <w:rPr>
          <w:spacing w:val="-2"/>
        </w:rPr>
        <w:t>3.股利政策及其选择</w:t>
      </w:r>
    </w:p>
    <w:p>
      <w:pPr>
        <w:pStyle w:val="BodyText"/>
        <w:ind w:left="22"/>
        <w:spacing w:before="181" w:line="220" w:lineRule="auto"/>
        <w:rPr/>
      </w:pPr>
      <w:r>
        <w:rPr>
          <w:spacing w:val="-1"/>
        </w:rPr>
        <w:t>4.股票分割与股票回购</w:t>
      </w:r>
    </w:p>
    <w:p>
      <w:pPr>
        <w:pStyle w:val="BodyText"/>
        <w:ind w:left="30"/>
        <w:spacing w:before="182" w:line="220" w:lineRule="auto"/>
        <w:outlineLvl w:val="2"/>
        <w:rPr/>
      </w:pPr>
      <w:r>
        <w:rPr>
          <w:b/>
          <w:bCs/>
          <w:spacing w:val="-4"/>
        </w:rPr>
        <w:t>（十二）并购与重组</w:t>
      </w:r>
    </w:p>
    <w:p>
      <w:pPr>
        <w:pStyle w:val="BodyText"/>
        <w:ind w:left="26" w:right="7120" w:firstLine="14"/>
        <w:spacing w:before="183" w:line="351" w:lineRule="auto"/>
        <w:jc w:val="both"/>
        <w:rPr/>
      </w:pPr>
      <w:r>
        <w:rPr>
          <w:spacing w:val="-5"/>
        </w:rPr>
        <w:t>1.公司并购</w:t>
      </w:r>
      <w:r>
        <w:rPr>
          <w:spacing w:val="1"/>
        </w:rPr>
        <w:t xml:space="preserve"> </w:t>
      </w:r>
      <w:r>
        <w:rPr>
          <w:spacing w:val="-3"/>
        </w:rPr>
        <w:t>2.公司重组</w:t>
      </w:r>
      <w:r>
        <w:rPr>
          <w:spacing w:val="4"/>
        </w:rPr>
        <w:t xml:space="preserve"> </w:t>
      </w:r>
      <w:r>
        <w:rPr>
          <w:spacing w:val="-3"/>
        </w:rPr>
        <w:t>3.财务预警</w:t>
      </w:r>
    </w:p>
    <w:p>
      <w:pPr>
        <w:pStyle w:val="BodyText"/>
        <w:ind w:left="22"/>
        <w:spacing w:before="34" w:line="220" w:lineRule="auto"/>
        <w:rPr/>
      </w:pPr>
      <w:r>
        <w:rPr>
          <w:spacing w:val="-1"/>
        </w:rPr>
        <w:t>4.破产重整与清算</w:t>
      </w:r>
    </w:p>
    <w:sectPr>
      <w:footerReference w:type="default" r:id="rId6"/>
      <w:pgSz w:w="11907" w:h="16839"/>
      <w:pgMar w:top="1431" w:right="1785" w:bottom="1013" w:left="1785" w:header="0" w:footer="8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6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5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2024-09-23T14:55:51Z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2024-09-25T14:53:13</vt:filetime>
  </property>
</Properties>
</file>