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80EF3">
      <w:pPr>
        <w:keepNext w:val="0"/>
        <w:keepLines w:val="0"/>
        <w:pageBreakBefore w:val="0"/>
        <w:kinsoku/>
        <w:wordWrap/>
        <w:overflowPunct/>
        <w:topLinePunct w:val="0"/>
        <w:autoSpaceDN/>
        <w:bidi w:val="0"/>
        <w:adjustRightInd/>
        <w:snapToGrid/>
        <w:spacing w:beforeAutospacing="0" w:afterAutospacing="0" w:line="500" w:lineRule="exact"/>
        <w:jc w:val="center"/>
        <w:textAlignment w:val="auto"/>
        <w:rPr>
          <w:rFonts w:hint="eastAsia" w:ascii="黑体" w:hAnsi="宋体" w:eastAsia="黑体"/>
          <w:sz w:val="32"/>
          <w:szCs w:val="32"/>
        </w:rPr>
      </w:pPr>
      <w:bookmarkStart w:id="15" w:name="_GoBack"/>
      <w:bookmarkEnd w:id="15"/>
      <w:r>
        <w:rPr>
          <w:rFonts w:hint="eastAsia" w:ascii="黑体" w:hAnsi="Calibri" w:eastAsia="黑体"/>
          <w:sz w:val="32"/>
          <w:szCs w:val="32"/>
        </w:rPr>
        <w:t>634-</w:t>
      </w:r>
      <w:r>
        <w:rPr>
          <w:rFonts w:hint="eastAsia" w:ascii="黑体" w:hAnsi="宋体" w:eastAsia="黑体"/>
          <w:sz w:val="32"/>
          <w:szCs w:val="32"/>
        </w:rPr>
        <w:t>卫生管理综合</w:t>
      </w:r>
    </w:p>
    <w:p w14:paraId="7D49A457">
      <w:pPr>
        <w:keepNext w:val="0"/>
        <w:keepLines w:val="0"/>
        <w:pageBreakBefore w:val="0"/>
        <w:kinsoku/>
        <w:wordWrap/>
        <w:overflowPunct/>
        <w:topLinePunct w:val="0"/>
        <w:autoSpaceDN/>
        <w:bidi w:val="0"/>
        <w:adjustRightInd/>
        <w:snapToGrid/>
        <w:spacing w:beforeAutospacing="0" w:afterAutospacing="0" w:line="500" w:lineRule="exact"/>
        <w:jc w:val="center"/>
        <w:textAlignment w:val="auto"/>
        <w:rPr>
          <w:rFonts w:hint="eastAsia" w:ascii="黑体" w:hAnsi="宋体" w:eastAsia="黑体"/>
          <w:szCs w:val="21"/>
        </w:rPr>
      </w:pPr>
    </w:p>
    <w:p w14:paraId="2DB83908">
      <w:pPr>
        <w:keepNext w:val="0"/>
        <w:keepLines w:val="0"/>
        <w:pageBreakBefore w:val="0"/>
        <w:kinsoku/>
        <w:wordWrap/>
        <w:overflowPunct/>
        <w:topLinePunct w:val="0"/>
        <w:autoSpaceDN/>
        <w:bidi w:val="0"/>
        <w:adjustRightInd/>
        <w:snapToGrid/>
        <w:spacing w:beforeAutospacing="0" w:afterAutospacing="0" w:line="500" w:lineRule="exact"/>
        <w:jc w:val="center"/>
        <w:textAlignment w:val="auto"/>
        <w:rPr>
          <w:rFonts w:ascii="Calibri" w:hAnsi="Calibri"/>
          <w:b/>
          <w:sz w:val="24"/>
          <w:szCs w:val="21"/>
        </w:rPr>
      </w:pPr>
      <w:r>
        <w:rPr>
          <w:rFonts w:ascii="Calibri" w:hAnsi="宋体"/>
          <w:b/>
          <w:sz w:val="24"/>
          <w:szCs w:val="21"/>
        </w:rPr>
        <w:t>卫生管理学部分</w:t>
      </w:r>
    </w:p>
    <w:p w14:paraId="11953FD3">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hint="eastAsia" w:ascii="Calibri" w:hAnsi="Calibri"/>
          <w:szCs w:val="21"/>
        </w:rPr>
      </w:pPr>
      <w:r>
        <w:rPr>
          <w:rFonts w:ascii="Calibri" w:hAnsi="宋体"/>
          <w:szCs w:val="21"/>
        </w:rPr>
        <w:t>（以人民卫生出版社</w:t>
      </w:r>
      <w:r>
        <w:rPr>
          <w:rFonts w:hint="eastAsia" w:ascii="Calibri" w:hAnsi="宋体"/>
          <w:szCs w:val="21"/>
        </w:rPr>
        <w:t>张亮、胡志</w:t>
      </w:r>
      <w:r>
        <w:rPr>
          <w:rFonts w:ascii="Calibri" w:hAnsi="宋体"/>
          <w:szCs w:val="21"/>
        </w:rPr>
        <w:t>主编《卫生管理学</w:t>
      </w:r>
      <w:r>
        <w:rPr>
          <w:rFonts w:hint="eastAsia" w:ascii="Calibri" w:hAnsi="宋体"/>
          <w:szCs w:val="21"/>
        </w:rPr>
        <w:t>》</w:t>
      </w:r>
      <w:r>
        <w:rPr>
          <w:rFonts w:ascii="Calibri" w:hAnsi="宋体"/>
          <w:szCs w:val="21"/>
        </w:rPr>
        <w:t>为蓝本，参考相关书目</w:t>
      </w:r>
      <w:r>
        <w:rPr>
          <w:rFonts w:hint="eastAsia" w:ascii="Calibri" w:hAnsi="宋体"/>
          <w:szCs w:val="21"/>
        </w:rPr>
        <w:t>）</w:t>
      </w:r>
    </w:p>
    <w:p w14:paraId="7B78A1EA">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hint="eastAsia" w:ascii="Calibri" w:hAnsi="宋体"/>
          <w:szCs w:val="21"/>
        </w:rPr>
      </w:pPr>
      <w:r>
        <w:rPr>
          <w:rFonts w:ascii="Calibri" w:hAnsi="宋体"/>
          <w:szCs w:val="21"/>
        </w:rPr>
        <w:t>《卫生管理学》是一门系统地研究卫生管理活动的规律和方法的科学。通过对卫生管理的对象、定义及范围的明确来确定卫生管理的领域，主要包括通过对卫生事业组织的培育和发展来保证卫生管理主体的合理选择，通过卫生事业组织中的领导、沟通、激励、控制等活动来保证卫生管理目标的实现，通过对卫生管理的评价和监督来保证卫生管理活动的正确方向等内容。通过本课程的考试使学生系统了解卫生管理的基本</w:t>
      </w:r>
      <w:r>
        <w:rPr>
          <w:rFonts w:hint="eastAsia" w:ascii="Calibri" w:hAnsi="宋体"/>
          <w:szCs w:val="21"/>
        </w:rPr>
        <w:t>理论、卫生发展和管理的宏观框架</w:t>
      </w:r>
      <w:r>
        <w:rPr>
          <w:rFonts w:ascii="Calibri" w:hAnsi="宋体"/>
          <w:szCs w:val="21"/>
        </w:rPr>
        <w:t>，掌握卫生管理的计划职能、组织职能、人力资源管理、</w:t>
      </w:r>
      <w:r>
        <w:rPr>
          <w:rFonts w:hint="eastAsia" w:ascii="Calibri" w:hAnsi="宋体"/>
          <w:szCs w:val="21"/>
        </w:rPr>
        <w:t>信息管理</w:t>
      </w:r>
      <w:r>
        <w:rPr>
          <w:rFonts w:ascii="Calibri" w:hAnsi="宋体"/>
          <w:szCs w:val="21"/>
        </w:rPr>
        <w:t>、控制职能的基本原理和方法，</w:t>
      </w:r>
      <w:r>
        <w:rPr>
          <w:rFonts w:hint="eastAsia" w:ascii="Calibri" w:hAnsi="宋体"/>
          <w:szCs w:val="21"/>
        </w:rPr>
        <w:t>熟悉卫生系统评价及控制的方法，</w:t>
      </w:r>
      <w:r>
        <w:rPr>
          <w:rFonts w:ascii="Calibri" w:hAnsi="宋体"/>
          <w:szCs w:val="21"/>
        </w:rPr>
        <w:t>引导学生的创造性思维，培养学生对卫生管理专业的深刻认识和浓厚兴趣</w:t>
      </w:r>
      <w:r>
        <w:rPr>
          <w:rFonts w:hint="eastAsia" w:ascii="Calibri" w:hAnsi="宋体"/>
          <w:szCs w:val="21"/>
        </w:rPr>
        <w:t>，</w:t>
      </w:r>
      <w:r>
        <w:rPr>
          <w:rFonts w:ascii="Calibri" w:hAnsi="宋体"/>
          <w:szCs w:val="21"/>
        </w:rPr>
        <w:t>为进一步学习卫生管理专业的其他课程打下良好的基础。</w:t>
      </w:r>
    </w:p>
    <w:p w14:paraId="755722D0">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hint="eastAsia" w:ascii="Calibri" w:hAnsi="Calibri"/>
          <w:szCs w:val="21"/>
        </w:rPr>
      </w:pPr>
    </w:p>
    <w:p w14:paraId="09D2096A">
      <w:pPr>
        <w:keepNext w:val="0"/>
        <w:keepLines w:val="0"/>
        <w:pageBreakBefore w:val="0"/>
        <w:kinsoku/>
        <w:wordWrap/>
        <w:overflowPunct/>
        <w:topLinePunct w:val="0"/>
        <w:autoSpaceDN/>
        <w:bidi w:val="0"/>
        <w:adjustRightInd/>
        <w:snapToGrid/>
        <w:spacing w:beforeAutospacing="0" w:afterAutospacing="0" w:line="500" w:lineRule="exact"/>
        <w:textAlignment w:val="auto"/>
        <w:rPr>
          <w:rFonts w:hint="eastAsia" w:ascii="黑体" w:hAnsi="Calibri" w:eastAsia="黑体"/>
          <w:szCs w:val="21"/>
        </w:rPr>
      </w:pPr>
      <w:r>
        <w:rPr>
          <w:rFonts w:hint="eastAsia" w:ascii="黑体" w:hAnsi="宋体" w:eastAsia="黑体"/>
          <w:szCs w:val="21"/>
        </w:rPr>
        <w:t>（一）绪论</w:t>
      </w:r>
    </w:p>
    <w:p w14:paraId="1B2D06B5">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1．</w:t>
      </w:r>
      <w:r>
        <w:rPr>
          <w:rFonts w:ascii="Calibri" w:hAnsi="宋体"/>
          <w:szCs w:val="21"/>
        </w:rPr>
        <w:t>考试范围</w:t>
      </w:r>
    </w:p>
    <w:p w14:paraId="6B350900">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全章内容。</w:t>
      </w:r>
    </w:p>
    <w:p w14:paraId="674489C8">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2．</w:t>
      </w:r>
      <w:r>
        <w:rPr>
          <w:rFonts w:ascii="Calibri" w:hAnsi="宋体"/>
          <w:szCs w:val="21"/>
        </w:rPr>
        <w:t>考试要求与内容</w:t>
      </w:r>
    </w:p>
    <w:p w14:paraId="7CE86522">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hint="eastAsia" w:ascii="Calibri" w:hAnsi="Calibri"/>
          <w:szCs w:val="21"/>
        </w:rPr>
      </w:pPr>
      <w:r>
        <w:rPr>
          <w:rFonts w:hint="eastAsia" w:ascii="Calibri" w:hAnsi="宋体"/>
          <w:szCs w:val="21"/>
        </w:rPr>
        <w:t>掌握社会系统、健康系统、卫生系统的概念及关系，重点了解卫生系统的目标、功能和特点</w:t>
      </w:r>
      <w:r>
        <w:rPr>
          <w:rFonts w:ascii="Calibri" w:hAnsi="宋体"/>
          <w:szCs w:val="21"/>
        </w:rPr>
        <w:t>。</w:t>
      </w:r>
      <w:r>
        <w:rPr>
          <w:rFonts w:hint="eastAsia" w:ascii="Calibri" w:hAnsi="宋体"/>
          <w:szCs w:val="21"/>
        </w:rPr>
        <w:t>辨析卫生管理和卫生治理的概念、联系和区别，掌握卫生管理学的学科特点、研究内容以及卫生管理实践常用的方法。</w:t>
      </w:r>
    </w:p>
    <w:p w14:paraId="37B86C48">
      <w:pPr>
        <w:keepNext w:val="0"/>
        <w:keepLines w:val="0"/>
        <w:pageBreakBefore w:val="0"/>
        <w:kinsoku/>
        <w:wordWrap/>
        <w:overflowPunct/>
        <w:topLinePunct w:val="0"/>
        <w:autoSpaceDN/>
        <w:bidi w:val="0"/>
        <w:adjustRightInd/>
        <w:snapToGrid/>
        <w:spacing w:beforeAutospacing="0" w:afterAutospacing="0" w:line="500" w:lineRule="exact"/>
        <w:textAlignment w:val="auto"/>
        <w:rPr>
          <w:rFonts w:hint="eastAsia" w:ascii="黑体" w:hAnsi="Calibri" w:eastAsia="黑体"/>
          <w:szCs w:val="21"/>
        </w:rPr>
      </w:pPr>
      <w:r>
        <w:rPr>
          <w:rFonts w:hint="eastAsia" w:ascii="黑体" w:hAnsi="宋体" w:eastAsia="黑体"/>
          <w:szCs w:val="21"/>
        </w:rPr>
        <w:t>（二）卫生工作方针与卫生发展战略</w:t>
      </w:r>
    </w:p>
    <w:p w14:paraId="5CF5CEBE">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1．</w:t>
      </w:r>
      <w:r>
        <w:rPr>
          <w:rFonts w:ascii="Calibri" w:hAnsi="宋体"/>
          <w:szCs w:val="21"/>
        </w:rPr>
        <w:t>考试范围</w:t>
      </w:r>
    </w:p>
    <w:p w14:paraId="79ADEDA0">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全章内容。</w:t>
      </w:r>
    </w:p>
    <w:p w14:paraId="54B49143">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2．</w:t>
      </w:r>
      <w:r>
        <w:rPr>
          <w:rFonts w:ascii="Calibri" w:hAnsi="宋体"/>
          <w:szCs w:val="21"/>
        </w:rPr>
        <w:t>考试目的</w:t>
      </w:r>
    </w:p>
    <w:p w14:paraId="616C028C">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hint="eastAsia" w:ascii="Calibri" w:hAnsi="宋体"/>
          <w:szCs w:val="21"/>
        </w:rPr>
        <w:t>学习和掌握卫生工作方针与卫生发展战略的基本内容，熟悉制定卫生工作方针与卫生发展战略的基本原则</w:t>
      </w:r>
      <w:r>
        <w:rPr>
          <w:rFonts w:ascii="Calibri" w:hAnsi="宋体"/>
          <w:szCs w:val="21"/>
        </w:rPr>
        <w:t>。</w:t>
      </w:r>
    </w:p>
    <w:p w14:paraId="352943A8">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3．</w:t>
      </w:r>
      <w:r>
        <w:rPr>
          <w:rFonts w:ascii="Calibri" w:hAnsi="宋体"/>
          <w:szCs w:val="21"/>
        </w:rPr>
        <w:t>考试要求与内容</w:t>
      </w:r>
    </w:p>
    <w:p w14:paraId="4A419CCF">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掌握</w:t>
      </w:r>
      <w:r>
        <w:rPr>
          <w:rFonts w:hint="eastAsia" w:ascii="Calibri" w:hAnsi="宋体"/>
          <w:szCs w:val="21"/>
        </w:rPr>
        <w:t>卫生工作方针和卫生发展战略的概念和内涵、我国不同时期卫生工作方针和卫生发展战略的基本内容，以及制定卫生工作方针和卫生发展战略的基本原则。熟悉卫生发展战略的内容与沿革，掌握卫生战略的制定过程</w:t>
      </w:r>
      <w:r>
        <w:rPr>
          <w:rFonts w:ascii="Calibri" w:hAnsi="宋体"/>
          <w:szCs w:val="21"/>
        </w:rPr>
        <w:t>。</w:t>
      </w:r>
    </w:p>
    <w:p w14:paraId="045B6B16">
      <w:pPr>
        <w:keepNext w:val="0"/>
        <w:keepLines w:val="0"/>
        <w:pageBreakBefore w:val="0"/>
        <w:kinsoku/>
        <w:wordWrap/>
        <w:overflowPunct/>
        <w:topLinePunct w:val="0"/>
        <w:autoSpaceDN/>
        <w:bidi w:val="0"/>
        <w:adjustRightInd/>
        <w:snapToGrid/>
        <w:spacing w:beforeAutospacing="0" w:afterAutospacing="0" w:line="500" w:lineRule="exact"/>
        <w:textAlignment w:val="auto"/>
        <w:rPr>
          <w:rFonts w:hint="eastAsia" w:ascii="黑体" w:hAnsi="Calibri" w:eastAsia="黑体"/>
          <w:szCs w:val="21"/>
        </w:rPr>
      </w:pPr>
      <w:r>
        <w:rPr>
          <w:rFonts w:hint="eastAsia" w:ascii="黑体" w:hAnsi="宋体" w:eastAsia="黑体"/>
          <w:szCs w:val="21"/>
        </w:rPr>
        <w:t>（三）卫生法与卫生政策</w:t>
      </w:r>
    </w:p>
    <w:p w14:paraId="6FE10E3B">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1．</w:t>
      </w:r>
      <w:r>
        <w:rPr>
          <w:rFonts w:ascii="Calibri" w:hAnsi="宋体"/>
          <w:szCs w:val="21"/>
        </w:rPr>
        <w:t>考试范围</w:t>
      </w:r>
    </w:p>
    <w:p w14:paraId="612EABB7">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全章内容。</w:t>
      </w:r>
    </w:p>
    <w:p w14:paraId="09BF4588">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2．</w:t>
      </w:r>
      <w:r>
        <w:rPr>
          <w:rFonts w:ascii="Calibri" w:hAnsi="宋体"/>
          <w:szCs w:val="21"/>
        </w:rPr>
        <w:t>考试目的</w:t>
      </w:r>
    </w:p>
    <w:p w14:paraId="4AA5DF86">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明确</w:t>
      </w:r>
      <w:r>
        <w:rPr>
          <w:rFonts w:hint="eastAsia" w:ascii="Calibri" w:hAnsi="宋体"/>
          <w:szCs w:val="21"/>
        </w:rPr>
        <w:t>卫生法与卫生政策的概念、区别与联系，了解和掌握卫生政策体系的功能与作用，并且辨析卫生政策体系与卫生系统的关系</w:t>
      </w:r>
      <w:r>
        <w:rPr>
          <w:rFonts w:ascii="Calibri" w:hAnsi="宋体"/>
          <w:szCs w:val="21"/>
        </w:rPr>
        <w:t>。</w:t>
      </w:r>
    </w:p>
    <w:p w14:paraId="7EDAD7A4">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3．</w:t>
      </w:r>
      <w:r>
        <w:rPr>
          <w:rFonts w:ascii="Calibri" w:hAnsi="宋体"/>
          <w:szCs w:val="21"/>
        </w:rPr>
        <w:t>考试要求与内容</w:t>
      </w:r>
    </w:p>
    <w:p w14:paraId="66A70251">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掌握</w:t>
      </w:r>
      <w:r>
        <w:rPr>
          <w:rFonts w:hint="eastAsia" w:ascii="Calibri" w:hAnsi="宋体"/>
          <w:szCs w:val="21"/>
        </w:rPr>
        <w:t>卫生法与卫生政策的概念、特征、研究对象及内容。辨析卫生法与卫生政策两者的关系，熟悉卫生法律体系、卫生政策体系的概念和内容等，并且把握卫生政策体系与卫生系统发展的关系</w:t>
      </w:r>
      <w:r>
        <w:rPr>
          <w:rFonts w:ascii="Calibri" w:hAnsi="宋体"/>
          <w:szCs w:val="21"/>
        </w:rPr>
        <w:t>。</w:t>
      </w:r>
    </w:p>
    <w:p w14:paraId="6558B86A">
      <w:pPr>
        <w:keepNext w:val="0"/>
        <w:keepLines w:val="0"/>
        <w:pageBreakBefore w:val="0"/>
        <w:kinsoku/>
        <w:wordWrap/>
        <w:overflowPunct/>
        <w:topLinePunct w:val="0"/>
        <w:autoSpaceDN/>
        <w:bidi w:val="0"/>
        <w:adjustRightInd/>
        <w:snapToGrid/>
        <w:spacing w:beforeAutospacing="0" w:afterAutospacing="0" w:line="500" w:lineRule="exact"/>
        <w:textAlignment w:val="auto"/>
        <w:rPr>
          <w:rFonts w:hint="eastAsia" w:ascii="黑体" w:hAnsi="Calibri" w:eastAsia="黑体"/>
          <w:szCs w:val="21"/>
        </w:rPr>
      </w:pPr>
      <w:r>
        <w:rPr>
          <w:rFonts w:hint="eastAsia" w:ascii="黑体" w:hAnsi="宋体" w:eastAsia="黑体"/>
          <w:szCs w:val="21"/>
        </w:rPr>
        <w:t>（四）卫生管理制度、体制与机制</w:t>
      </w:r>
    </w:p>
    <w:p w14:paraId="3F17B678">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1．</w:t>
      </w:r>
      <w:r>
        <w:rPr>
          <w:rFonts w:ascii="Calibri" w:hAnsi="宋体"/>
          <w:szCs w:val="21"/>
        </w:rPr>
        <w:t>考试范围</w:t>
      </w:r>
    </w:p>
    <w:p w14:paraId="409B3280">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全章内容。</w:t>
      </w:r>
    </w:p>
    <w:p w14:paraId="2CAF071F">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2．</w:t>
      </w:r>
      <w:r>
        <w:rPr>
          <w:rFonts w:ascii="Calibri" w:hAnsi="宋体"/>
          <w:szCs w:val="21"/>
        </w:rPr>
        <w:t>考试目的</w:t>
      </w:r>
    </w:p>
    <w:p w14:paraId="26B765F9">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hint="eastAsia" w:ascii="Calibri" w:hAnsi="宋体"/>
          <w:szCs w:val="21"/>
        </w:rPr>
        <w:t>掌握卫生管理制度、体制、机制的概念与关系，</w:t>
      </w:r>
      <w:r>
        <w:rPr>
          <w:rFonts w:ascii="Calibri" w:hAnsi="宋体"/>
          <w:szCs w:val="21"/>
        </w:rPr>
        <w:t>明确</w:t>
      </w:r>
      <w:r>
        <w:rPr>
          <w:rFonts w:hint="eastAsia" w:ascii="Calibri" w:hAnsi="宋体"/>
          <w:szCs w:val="21"/>
        </w:rPr>
        <w:t>卫生管理体制与社会体制之间的关系，把握卫生管理体制改革的趋势</w:t>
      </w:r>
      <w:r>
        <w:rPr>
          <w:rFonts w:ascii="Calibri" w:hAnsi="宋体"/>
          <w:szCs w:val="21"/>
        </w:rPr>
        <w:t>。</w:t>
      </w:r>
    </w:p>
    <w:p w14:paraId="02A84F34">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3．</w:t>
      </w:r>
      <w:r>
        <w:rPr>
          <w:rFonts w:ascii="Calibri" w:hAnsi="宋体"/>
          <w:szCs w:val="21"/>
        </w:rPr>
        <w:t>考试要求与内容</w:t>
      </w:r>
    </w:p>
    <w:p w14:paraId="3CD51D8D">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掌握</w:t>
      </w:r>
      <w:r>
        <w:rPr>
          <w:rFonts w:hint="eastAsia" w:ascii="Calibri" w:hAnsi="宋体"/>
          <w:szCs w:val="21"/>
        </w:rPr>
        <w:t>卫生管理制度、体制与机制等基本概念和内涵，厘清相关概念的区别和联系。掌握卫生管理制度的含义和作用，卫生管理体制构建的基本原则、目标、内容和改革趋势。熟悉卫生管理机制的内涵，并且重点了解卫生行政管理机制和卫生服务市场管理机制。</w:t>
      </w:r>
    </w:p>
    <w:p w14:paraId="061C92C5">
      <w:pPr>
        <w:keepNext w:val="0"/>
        <w:keepLines w:val="0"/>
        <w:pageBreakBefore w:val="0"/>
        <w:kinsoku/>
        <w:wordWrap/>
        <w:overflowPunct/>
        <w:topLinePunct w:val="0"/>
        <w:autoSpaceDN/>
        <w:bidi w:val="0"/>
        <w:adjustRightInd/>
        <w:snapToGrid/>
        <w:spacing w:beforeAutospacing="0" w:afterAutospacing="0" w:line="500" w:lineRule="exact"/>
        <w:textAlignment w:val="auto"/>
        <w:rPr>
          <w:rFonts w:hint="eastAsia" w:ascii="黑体" w:hAnsi="Calibri" w:eastAsia="黑体"/>
          <w:szCs w:val="21"/>
        </w:rPr>
      </w:pPr>
      <w:r>
        <w:rPr>
          <w:rFonts w:hint="eastAsia" w:ascii="黑体" w:hAnsi="宋体" w:eastAsia="黑体"/>
          <w:szCs w:val="21"/>
        </w:rPr>
        <w:t>（五）卫生资源规划</w:t>
      </w:r>
    </w:p>
    <w:p w14:paraId="5F1FAA12">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1．</w:t>
      </w:r>
      <w:r>
        <w:rPr>
          <w:rFonts w:ascii="Calibri" w:hAnsi="宋体"/>
          <w:szCs w:val="21"/>
        </w:rPr>
        <w:t>考试范围</w:t>
      </w:r>
    </w:p>
    <w:p w14:paraId="2F2650EF">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全章内容。</w:t>
      </w:r>
    </w:p>
    <w:p w14:paraId="4481853C">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2．</w:t>
      </w:r>
      <w:r>
        <w:rPr>
          <w:rFonts w:ascii="Calibri" w:hAnsi="宋体"/>
          <w:szCs w:val="21"/>
        </w:rPr>
        <w:t>考试目的</w:t>
      </w:r>
    </w:p>
    <w:p w14:paraId="3F5E81B1">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hint="eastAsia" w:ascii="Calibri" w:hAnsi="宋体"/>
          <w:szCs w:val="21"/>
        </w:rPr>
        <w:t>学习和熟悉卫生资源及规划的概念、要素等，掌握卫生资源规划、区域卫生规划的编制程序等</w:t>
      </w:r>
      <w:r>
        <w:rPr>
          <w:rFonts w:ascii="Calibri" w:hAnsi="宋体"/>
          <w:szCs w:val="21"/>
        </w:rPr>
        <w:t>。</w:t>
      </w:r>
    </w:p>
    <w:p w14:paraId="7158C7C6">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3．</w:t>
      </w:r>
      <w:r>
        <w:rPr>
          <w:rFonts w:ascii="Calibri" w:hAnsi="宋体"/>
          <w:szCs w:val="21"/>
        </w:rPr>
        <w:t>考试要求与内容</w:t>
      </w:r>
    </w:p>
    <w:p w14:paraId="743107B0">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掌握</w:t>
      </w:r>
      <w:r>
        <w:rPr>
          <w:rFonts w:hint="eastAsia" w:ascii="Calibri" w:hAnsi="宋体"/>
          <w:szCs w:val="21"/>
        </w:rPr>
        <w:t>卫生资源规划的概念、要素、功能及任务，重点了解卫生资源规划的指导思想及依据。熟悉并掌握卫生资源规划的基本思路、原则、基本步骤。掌握区域卫生规划的特征和意义、编制程序、区域卫生资源配置等相关内容</w:t>
      </w:r>
      <w:r>
        <w:rPr>
          <w:rFonts w:ascii="Calibri" w:hAnsi="宋体"/>
          <w:szCs w:val="21"/>
        </w:rPr>
        <w:t>。</w:t>
      </w:r>
    </w:p>
    <w:p w14:paraId="01D07060">
      <w:pPr>
        <w:keepNext w:val="0"/>
        <w:keepLines w:val="0"/>
        <w:pageBreakBefore w:val="0"/>
        <w:kinsoku/>
        <w:wordWrap/>
        <w:overflowPunct/>
        <w:topLinePunct w:val="0"/>
        <w:autoSpaceDN/>
        <w:bidi w:val="0"/>
        <w:adjustRightInd/>
        <w:snapToGrid/>
        <w:spacing w:beforeAutospacing="0" w:afterAutospacing="0" w:line="500" w:lineRule="exact"/>
        <w:textAlignment w:val="auto"/>
        <w:rPr>
          <w:rFonts w:hint="eastAsia" w:ascii="黑体" w:hAnsi="Calibri" w:eastAsia="黑体"/>
          <w:szCs w:val="21"/>
        </w:rPr>
      </w:pPr>
      <w:r>
        <w:rPr>
          <w:rFonts w:hint="eastAsia" w:ascii="黑体" w:hAnsi="宋体" w:eastAsia="黑体"/>
          <w:szCs w:val="21"/>
        </w:rPr>
        <w:t>（六）卫生组织体系</w:t>
      </w:r>
    </w:p>
    <w:p w14:paraId="0F2FD68D">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1．</w:t>
      </w:r>
      <w:r>
        <w:rPr>
          <w:rFonts w:ascii="Calibri" w:hAnsi="宋体"/>
          <w:szCs w:val="21"/>
        </w:rPr>
        <w:t>考试范围</w:t>
      </w:r>
    </w:p>
    <w:p w14:paraId="3668D090">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全章内容。</w:t>
      </w:r>
    </w:p>
    <w:p w14:paraId="3F8B79E5">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2．</w:t>
      </w:r>
      <w:r>
        <w:rPr>
          <w:rFonts w:ascii="Calibri" w:hAnsi="宋体"/>
          <w:szCs w:val="21"/>
        </w:rPr>
        <w:t>考试目的</w:t>
      </w:r>
    </w:p>
    <w:p w14:paraId="51405446">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明确</w:t>
      </w:r>
      <w:r>
        <w:rPr>
          <w:rFonts w:hint="eastAsia" w:ascii="Calibri" w:hAnsi="宋体"/>
          <w:szCs w:val="21"/>
        </w:rPr>
        <w:t>卫生组织和卫生组织体系的内涵，掌握卫生行政组织体系、卫生服务组织体系、社会卫生组织体系的构成、具体职能和管理原则等。</w:t>
      </w:r>
    </w:p>
    <w:p w14:paraId="0973D3A8">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3．</w:t>
      </w:r>
      <w:r>
        <w:rPr>
          <w:rFonts w:ascii="Calibri" w:hAnsi="宋体"/>
          <w:szCs w:val="21"/>
        </w:rPr>
        <w:t>考试要求与内容</w:t>
      </w:r>
    </w:p>
    <w:p w14:paraId="52CA9C2A">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hint="eastAsia" w:ascii="Calibri" w:hAnsi="Calibri"/>
          <w:szCs w:val="21"/>
        </w:rPr>
      </w:pPr>
      <w:r>
        <w:rPr>
          <w:rFonts w:hint="eastAsia" w:ascii="Calibri" w:hAnsi="宋体"/>
          <w:szCs w:val="21"/>
        </w:rPr>
        <w:t>掌握卫生组织和卫生组织体系的概念与特点、卫生组织体系的管理原则，卫生行政组织和卫生服务组织的设置、职能、改革等相关内容</w:t>
      </w:r>
      <w:r>
        <w:rPr>
          <w:rFonts w:ascii="Calibri" w:hAnsi="宋体"/>
          <w:szCs w:val="21"/>
        </w:rPr>
        <w:t>。</w:t>
      </w:r>
      <w:r>
        <w:rPr>
          <w:rFonts w:hint="eastAsia" w:ascii="Calibri" w:hAnsi="宋体"/>
          <w:szCs w:val="21"/>
        </w:rPr>
        <w:t>熟悉并掌握社会卫生组织的含义、主要形式和功能，并且了解中国和国际主要的卫生组织</w:t>
      </w:r>
      <w:r>
        <w:rPr>
          <w:rFonts w:ascii="Calibri" w:hAnsi="宋体"/>
          <w:szCs w:val="21"/>
        </w:rPr>
        <w:t>。</w:t>
      </w:r>
    </w:p>
    <w:p w14:paraId="19A34658">
      <w:pPr>
        <w:keepNext w:val="0"/>
        <w:keepLines w:val="0"/>
        <w:pageBreakBefore w:val="0"/>
        <w:kinsoku/>
        <w:wordWrap/>
        <w:overflowPunct/>
        <w:topLinePunct w:val="0"/>
        <w:autoSpaceDN/>
        <w:bidi w:val="0"/>
        <w:adjustRightInd/>
        <w:snapToGrid/>
        <w:spacing w:beforeAutospacing="0" w:afterAutospacing="0" w:line="500" w:lineRule="exact"/>
        <w:textAlignment w:val="auto"/>
        <w:rPr>
          <w:rFonts w:hint="eastAsia" w:ascii="黑体" w:hAnsi="Calibri" w:eastAsia="黑体"/>
          <w:szCs w:val="21"/>
        </w:rPr>
      </w:pPr>
      <w:r>
        <w:rPr>
          <w:rFonts w:hint="eastAsia" w:ascii="黑体" w:hAnsi="宋体" w:eastAsia="黑体"/>
          <w:szCs w:val="21"/>
        </w:rPr>
        <w:t>（七）卫生人力资源管理</w:t>
      </w:r>
    </w:p>
    <w:p w14:paraId="607D7578">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1．</w:t>
      </w:r>
      <w:r>
        <w:rPr>
          <w:rFonts w:ascii="Calibri" w:hAnsi="宋体"/>
          <w:szCs w:val="21"/>
        </w:rPr>
        <w:t>考试范围</w:t>
      </w:r>
    </w:p>
    <w:p w14:paraId="0D05AE66">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全章内容。</w:t>
      </w:r>
    </w:p>
    <w:p w14:paraId="0C70F553">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2．</w:t>
      </w:r>
      <w:r>
        <w:rPr>
          <w:rFonts w:ascii="Calibri" w:hAnsi="宋体"/>
          <w:szCs w:val="21"/>
        </w:rPr>
        <w:t>考试目的</w:t>
      </w:r>
    </w:p>
    <w:p w14:paraId="62756E96">
      <w:pPr>
        <w:keepNext w:val="0"/>
        <w:keepLines w:val="0"/>
        <w:pageBreakBefore w:val="0"/>
        <w:kinsoku/>
        <w:wordWrap/>
        <w:overflowPunct/>
        <w:topLinePunct w:val="0"/>
        <w:autoSpaceDE w:val="0"/>
        <w:autoSpaceDN/>
        <w:bidi w:val="0"/>
        <w:adjustRightInd/>
        <w:snapToGrid/>
        <w:spacing w:beforeAutospacing="0" w:afterAutospacing="0" w:line="500" w:lineRule="exact"/>
        <w:ind w:firstLine="420" w:firstLineChars="200"/>
        <w:textAlignment w:val="auto"/>
        <w:rPr>
          <w:rFonts w:ascii="Calibri" w:hAnsi="Calibri" w:cs="Calibri"/>
          <w:szCs w:val="21"/>
        </w:rPr>
      </w:pPr>
      <w:r>
        <w:rPr>
          <w:rFonts w:ascii="宋体" w:hAnsi="宋体" w:cs="Calibri"/>
        </w:rPr>
        <w:t>把握卫生人力资源及其管理、</w:t>
      </w:r>
      <w:r>
        <w:rPr>
          <w:rFonts w:hint="eastAsia" w:ascii="宋体" w:hAnsi="宋体" w:cs="Calibri"/>
        </w:rPr>
        <w:t>配置、使用、流动</w:t>
      </w:r>
      <w:r>
        <w:rPr>
          <w:rFonts w:ascii="宋体" w:hAnsi="宋体" w:cs="Calibri"/>
        </w:rPr>
        <w:t>的原理，熟悉卫生人力资源</w:t>
      </w:r>
      <w:r>
        <w:rPr>
          <w:rFonts w:hint="eastAsia" w:ascii="宋体" w:hAnsi="宋体" w:cs="Calibri"/>
        </w:rPr>
        <w:t>配置预测</w:t>
      </w:r>
      <w:r>
        <w:rPr>
          <w:rFonts w:ascii="宋体" w:hAnsi="宋体" w:cs="Calibri"/>
        </w:rPr>
        <w:t>的方法。</w:t>
      </w:r>
    </w:p>
    <w:p w14:paraId="3FFE61BA">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3．</w:t>
      </w:r>
      <w:r>
        <w:rPr>
          <w:rFonts w:ascii="Calibri" w:hAnsi="宋体"/>
          <w:szCs w:val="21"/>
        </w:rPr>
        <w:t>考试要求与内容</w:t>
      </w:r>
    </w:p>
    <w:p w14:paraId="05E66747">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hint="eastAsia" w:ascii="Calibri" w:hAnsi="宋体"/>
          <w:szCs w:val="21"/>
        </w:rPr>
        <w:t>掌握卫生人力资源的基本概念、功能与特征及其发展趋势。熟悉卫生人力资源配置的现状、模式及原则、预测方法。掌握卫生人力资源的使用、调配和任用方式，学习和重点了解卫生人力资源流动管理相关内容。</w:t>
      </w:r>
    </w:p>
    <w:p w14:paraId="0A60A32F">
      <w:pPr>
        <w:keepNext w:val="0"/>
        <w:keepLines w:val="0"/>
        <w:pageBreakBefore w:val="0"/>
        <w:kinsoku/>
        <w:wordWrap/>
        <w:overflowPunct/>
        <w:topLinePunct w:val="0"/>
        <w:autoSpaceDN/>
        <w:bidi w:val="0"/>
        <w:adjustRightInd/>
        <w:snapToGrid/>
        <w:spacing w:beforeAutospacing="0" w:afterAutospacing="0" w:line="500" w:lineRule="exact"/>
        <w:textAlignment w:val="auto"/>
        <w:rPr>
          <w:rFonts w:hint="eastAsia" w:ascii="黑体" w:hAnsi="Calibri" w:eastAsia="黑体"/>
          <w:szCs w:val="21"/>
        </w:rPr>
      </w:pPr>
      <w:r>
        <w:rPr>
          <w:rFonts w:hint="eastAsia" w:ascii="黑体" w:hAnsi="宋体" w:eastAsia="黑体"/>
          <w:szCs w:val="21"/>
        </w:rPr>
        <w:t>（八）卫生资金管理</w:t>
      </w:r>
    </w:p>
    <w:p w14:paraId="45F52885">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1．</w:t>
      </w:r>
      <w:r>
        <w:rPr>
          <w:rFonts w:ascii="Calibri" w:hAnsi="宋体"/>
          <w:szCs w:val="21"/>
        </w:rPr>
        <w:t>考试范围</w:t>
      </w:r>
    </w:p>
    <w:p w14:paraId="23455E88">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全章内容。</w:t>
      </w:r>
    </w:p>
    <w:p w14:paraId="04E17AE2">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2．</w:t>
      </w:r>
      <w:r>
        <w:rPr>
          <w:rFonts w:ascii="Calibri" w:hAnsi="宋体"/>
          <w:szCs w:val="21"/>
        </w:rPr>
        <w:t>考试目的</w:t>
      </w:r>
    </w:p>
    <w:p w14:paraId="7F4B005D">
      <w:pPr>
        <w:keepNext w:val="0"/>
        <w:keepLines w:val="0"/>
        <w:pageBreakBefore w:val="0"/>
        <w:kinsoku/>
        <w:wordWrap/>
        <w:overflowPunct/>
        <w:topLinePunct w:val="0"/>
        <w:autoSpaceDE w:val="0"/>
        <w:autoSpaceDN/>
        <w:bidi w:val="0"/>
        <w:adjustRightInd/>
        <w:snapToGrid/>
        <w:spacing w:beforeAutospacing="0" w:afterAutospacing="0" w:line="500" w:lineRule="exact"/>
        <w:ind w:firstLine="420" w:firstLineChars="200"/>
        <w:textAlignment w:val="auto"/>
        <w:rPr>
          <w:rFonts w:hint="eastAsia" w:ascii="Calibri" w:hAnsi="Calibri" w:cs="Calibri"/>
          <w:szCs w:val="21"/>
        </w:rPr>
      </w:pPr>
      <w:r>
        <w:rPr>
          <w:rFonts w:hint="eastAsia" w:ascii="宋体" w:hAnsi="宋体" w:cs="Calibri"/>
        </w:rPr>
        <w:t>掌握</w:t>
      </w:r>
      <w:r>
        <w:rPr>
          <w:rFonts w:ascii="宋体" w:hAnsi="宋体" w:cs="Calibri"/>
        </w:rPr>
        <w:t>卫生</w:t>
      </w:r>
      <w:r>
        <w:rPr>
          <w:rFonts w:hint="eastAsia" w:ascii="宋体" w:hAnsi="宋体" w:cs="Calibri"/>
        </w:rPr>
        <w:t>资金的筹集、分配、支付与使用、监管与绩效管理等内容，为改善卫生系统绩效选择适宜的政策与管理措施</w:t>
      </w:r>
      <w:r>
        <w:rPr>
          <w:rFonts w:ascii="宋体" w:hAnsi="宋体" w:cs="Calibri"/>
        </w:rPr>
        <w:t>。</w:t>
      </w:r>
    </w:p>
    <w:p w14:paraId="0523DB96">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ascii="Calibri" w:hAnsi="宋体"/>
          <w:szCs w:val="21"/>
        </w:rPr>
        <w:t>3</w:t>
      </w:r>
      <w:r>
        <w:rPr>
          <w:rFonts w:hint="eastAsia" w:ascii="Calibri" w:hAnsi="宋体"/>
          <w:szCs w:val="21"/>
        </w:rPr>
        <w:t>．</w:t>
      </w:r>
      <w:r>
        <w:rPr>
          <w:rFonts w:ascii="Calibri" w:hAnsi="宋体"/>
          <w:szCs w:val="21"/>
        </w:rPr>
        <w:t>考试要求与内容</w:t>
      </w:r>
    </w:p>
    <w:p w14:paraId="5BBCC06C">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hint="eastAsia" w:ascii="Calibri" w:hAnsi="宋体"/>
          <w:szCs w:val="21"/>
        </w:rPr>
        <w:t>掌握卫生资金管理的概念、目标、主要内容等</w:t>
      </w:r>
      <w:r>
        <w:rPr>
          <w:rFonts w:ascii="Calibri" w:hAnsi="宋体"/>
          <w:szCs w:val="21"/>
        </w:rPr>
        <w:t>。</w:t>
      </w:r>
      <w:r>
        <w:rPr>
          <w:rFonts w:hint="eastAsia" w:ascii="Calibri" w:hAnsi="宋体"/>
          <w:szCs w:val="21"/>
        </w:rPr>
        <w:t>熟悉卫生资金的筹集和分配的概念、方式等。掌握卫生资金分配的原则、结构、财政卫生资金分配等。学习并熟悉卫生资金的支付类型、支付方式对卫生机构行为影响、以及卫生资金如何合理使用。掌握财政卫生资金、社会医疗保险基金、社会卫生资金的监管等相关内容。</w:t>
      </w:r>
    </w:p>
    <w:p w14:paraId="02473CF5">
      <w:pPr>
        <w:keepNext w:val="0"/>
        <w:keepLines w:val="0"/>
        <w:pageBreakBefore w:val="0"/>
        <w:kinsoku/>
        <w:wordWrap/>
        <w:overflowPunct/>
        <w:topLinePunct w:val="0"/>
        <w:autoSpaceDN/>
        <w:bidi w:val="0"/>
        <w:adjustRightInd/>
        <w:snapToGrid/>
        <w:spacing w:beforeAutospacing="0" w:afterAutospacing="0" w:line="500" w:lineRule="exact"/>
        <w:textAlignment w:val="auto"/>
        <w:rPr>
          <w:rFonts w:hint="eastAsia" w:ascii="黑体" w:hAnsi="Calibri" w:eastAsia="黑体"/>
          <w:szCs w:val="21"/>
        </w:rPr>
      </w:pPr>
      <w:r>
        <w:rPr>
          <w:rFonts w:hint="eastAsia" w:ascii="黑体" w:hAnsi="宋体" w:eastAsia="黑体"/>
          <w:szCs w:val="21"/>
        </w:rPr>
        <w:t>（九）卫生物力资源管理</w:t>
      </w:r>
    </w:p>
    <w:p w14:paraId="3D03D63F">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1．</w:t>
      </w:r>
      <w:r>
        <w:rPr>
          <w:rFonts w:ascii="Calibri" w:hAnsi="宋体"/>
          <w:szCs w:val="21"/>
        </w:rPr>
        <w:t>考试范围</w:t>
      </w:r>
    </w:p>
    <w:p w14:paraId="02CFF4D8">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全章内容。</w:t>
      </w:r>
    </w:p>
    <w:p w14:paraId="15719FB3">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2．</w:t>
      </w:r>
      <w:r>
        <w:rPr>
          <w:rFonts w:ascii="Calibri" w:hAnsi="宋体"/>
          <w:szCs w:val="21"/>
        </w:rPr>
        <w:t>考试目的</w:t>
      </w:r>
    </w:p>
    <w:p w14:paraId="338D75F5">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理解</w:t>
      </w:r>
      <w:r>
        <w:rPr>
          <w:rFonts w:hint="eastAsia" w:ascii="Calibri" w:hAnsi="宋体"/>
          <w:szCs w:val="21"/>
        </w:rPr>
        <w:t>卫生物力资源管理的基本内涵，熟悉并掌握卫生设施、设备、耗材等管理的相关内容</w:t>
      </w:r>
      <w:r>
        <w:rPr>
          <w:rFonts w:ascii="Calibri" w:hAnsi="宋体"/>
          <w:szCs w:val="21"/>
        </w:rPr>
        <w:t>。</w:t>
      </w:r>
    </w:p>
    <w:p w14:paraId="5712933C">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3．</w:t>
      </w:r>
      <w:r>
        <w:rPr>
          <w:rFonts w:ascii="Calibri" w:hAnsi="宋体"/>
          <w:szCs w:val="21"/>
        </w:rPr>
        <w:t>考试要求与内容</w:t>
      </w:r>
    </w:p>
    <w:p w14:paraId="228EC7ED">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hint="eastAsia" w:ascii="Calibri" w:hAnsi="Calibri"/>
          <w:szCs w:val="21"/>
        </w:rPr>
      </w:pPr>
      <w:r>
        <w:rPr>
          <w:rFonts w:ascii="Calibri" w:hAnsi="宋体"/>
          <w:szCs w:val="21"/>
        </w:rPr>
        <w:t>掌握</w:t>
      </w:r>
      <w:r>
        <w:rPr>
          <w:rFonts w:hint="eastAsia" w:ascii="Calibri" w:hAnsi="宋体"/>
          <w:szCs w:val="21"/>
        </w:rPr>
        <w:t>卫生物力管理的概念、内容及作用</w:t>
      </w:r>
      <w:r>
        <w:rPr>
          <w:rFonts w:ascii="Calibri" w:hAnsi="宋体"/>
          <w:szCs w:val="21"/>
        </w:rPr>
        <w:t>。</w:t>
      </w:r>
      <w:r>
        <w:rPr>
          <w:rFonts w:hint="eastAsia" w:ascii="Calibri" w:hAnsi="宋体"/>
          <w:szCs w:val="21"/>
        </w:rPr>
        <w:t>熟悉卫生设施管理的分类、空间布局规划管理与原则。学习并掌握卫生设备管理的主要内容、原则、特点及大型医用设备管理的相关内容。掌握卫生耗材管理的内容、特点、要求和方法。</w:t>
      </w:r>
    </w:p>
    <w:p w14:paraId="718C18E2">
      <w:pPr>
        <w:keepNext w:val="0"/>
        <w:keepLines w:val="0"/>
        <w:pageBreakBefore w:val="0"/>
        <w:kinsoku/>
        <w:wordWrap/>
        <w:overflowPunct/>
        <w:topLinePunct w:val="0"/>
        <w:autoSpaceDN/>
        <w:bidi w:val="0"/>
        <w:adjustRightInd/>
        <w:snapToGrid/>
        <w:spacing w:beforeAutospacing="0" w:afterAutospacing="0" w:line="500" w:lineRule="exact"/>
        <w:textAlignment w:val="auto"/>
        <w:rPr>
          <w:rFonts w:hint="eastAsia" w:ascii="黑体" w:hAnsi="Calibri" w:eastAsia="黑体"/>
          <w:szCs w:val="21"/>
        </w:rPr>
      </w:pPr>
      <w:r>
        <w:rPr>
          <w:rFonts w:hint="eastAsia" w:ascii="黑体" w:hAnsi="宋体" w:eastAsia="黑体"/>
          <w:szCs w:val="21"/>
        </w:rPr>
        <w:t>（十）卫生信息管理</w:t>
      </w:r>
    </w:p>
    <w:p w14:paraId="31801461">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1．</w:t>
      </w:r>
      <w:r>
        <w:rPr>
          <w:rFonts w:ascii="Calibri" w:hAnsi="宋体"/>
          <w:szCs w:val="21"/>
        </w:rPr>
        <w:t>考试范围</w:t>
      </w:r>
    </w:p>
    <w:p w14:paraId="73002A51">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全章内容。</w:t>
      </w:r>
    </w:p>
    <w:p w14:paraId="67131F75">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2．</w:t>
      </w:r>
      <w:r>
        <w:rPr>
          <w:rFonts w:ascii="Calibri" w:hAnsi="宋体"/>
          <w:szCs w:val="21"/>
        </w:rPr>
        <w:t>考试目的</w:t>
      </w:r>
    </w:p>
    <w:p w14:paraId="22813FE1">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把握卫生</w:t>
      </w:r>
      <w:r>
        <w:rPr>
          <w:rFonts w:hint="eastAsia" w:ascii="Calibri" w:hAnsi="宋体"/>
          <w:szCs w:val="21"/>
        </w:rPr>
        <w:t>信息与信息管理的基本内容</w:t>
      </w:r>
      <w:r>
        <w:rPr>
          <w:rFonts w:ascii="Calibri" w:hAnsi="宋体"/>
          <w:szCs w:val="21"/>
        </w:rPr>
        <w:t>，熟悉</w:t>
      </w:r>
      <w:r>
        <w:rPr>
          <w:rFonts w:hint="eastAsia" w:ascii="Calibri" w:hAnsi="宋体"/>
          <w:szCs w:val="21"/>
        </w:rPr>
        <w:t>卫生信息系统和管理信息系统，掌握卫生信息及其管理的新模式</w:t>
      </w:r>
      <w:r>
        <w:rPr>
          <w:rFonts w:ascii="Calibri" w:hAnsi="宋体"/>
          <w:szCs w:val="21"/>
        </w:rPr>
        <w:t>。</w:t>
      </w:r>
    </w:p>
    <w:p w14:paraId="1654539A">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3．</w:t>
      </w:r>
      <w:r>
        <w:rPr>
          <w:rFonts w:ascii="Calibri" w:hAnsi="宋体"/>
          <w:szCs w:val="21"/>
        </w:rPr>
        <w:t>考试要求与内容</w:t>
      </w:r>
    </w:p>
    <w:p w14:paraId="16D911A9">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掌握</w:t>
      </w:r>
      <w:r>
        <w:rPr>
          <w:rFonts w:hint="eastAsia" w:ascii="Calibri" w:hAnsi="宋体"/>
          <w:szCs w:val="21"/>
        </w:rPr>
        <w:t>卫生信息的概念和特征，以及卫生信息管理的概念、范围、意义和作用等</w:t>
      </w:r>
      <w:r>
        <w:rPr>
          <w:rFonts w:ascii="Calibri" w:hAnsi="宋体"/>
          <w:szCs w:val="21"/>
        </w:rPr>
        <w:t>。</w:t>
      </w:r>
      <w:r>
        <w:rPr>
          <w:rFonts w:hint="eastAsia" w:ascii="Calibri" w:hAnsi="宋体"/>
          <w:szCs w:val="21"/>
        </w:rPr>
        <w:t>重点</w:t>
      </w:r>
      <w:r>
        <w:rPr>
          <w:rFonts w:ascii="Calibri" w:hAnsi="宋体"/>
          <w:szCs w:val="21"/>
        </w:rPr>
        <w:t>了解</w:t>
      </w:r>
      <w:r>
        <w:rPr>
          <w:rFonts w:hint="eastAsia" w:ascii="Calibri" w:hAnsi="宋体"/>
          <w:szCs w:val="21"/>
        </w:rPr>
        <w:t>卫生信息系统的概念和构成，并且熟悉卫生信息系统可能存在的信息安全问题及应采取的措施</w:t>
      </w:r>
      <w:r>
        <w:rPr>
          <w:rFonts w:ascii="Calibri" w:hAnsi="宋体"/>
          <w:szCs w:val="21"/>
        </w:rPr>
        <w:t>。</w:t>
      </w:r>
      <w:r>
        <w:rPr>
          <w:rFonts w:hint="eastAsia" w:ascii="Calibri" w:hAnsi="宋体"/>
          <w:szCs w:val="21"/>
        </w:rPr>
        <w:t>熟悉卫生管理信息的概念、类别和卫生信息系统的构成等</w:t>
      </w:r>
      <w:r>
        <w:rPr>
          <w:rFonts w:ascii="Calibri" w:hAnsi="宋体"/>
          <w:szCs w:val="21"/>
        </w:rPr>
        <w:t>。</w:t>
      </w:r>
      <w:r>
        <w:rPr>
          <w:rFonts w:hint="eastAsia" w:ascii="Calibri" w:hAnsi="宋体"/>
          <w:szCs w:val="21"/>
        </w:rPr>
        <w:t>掌握卫生信息及其管理的新模式与新发展。</w:t>
      </w:r>
    </w:p>
    <w:p w14:paraId="4AC18188">
      <w:pPr>
        <w:keepNext w:val="0"/>
        <w:keepLines w:val="0"/>
        <w:pageBreakBefore w:val="0"/>
        <w:kinsoku/>
        <w:wordWrap/>
        <w:overflowPunct/>
        <w:topLinePunct w:val="0"/>
        <w:autoSpaceDN/>
        <w:bidi w:val="0"/>
        <w:adjustRightInd/>
        <w:snapToGrid/>
        <w:spacing w:beforeAutospacing="0" w:afterAutospacing="0" w:line="500" w:lineRule="exact"/>
        <w:textAlignment w:val="auto"/>
        <w:rPr>
          <w:rFonts w:hint="eastAsia" w:ascii="黑体" w:hAnsi="Calibri" w:eastAsia="黑体"/>
          <w:szCs w:val="21"/>
        </w:rPr>
      </w:pPr>
      <w:r>
        <w:rPr>
          <w:rFonts w:hint="eastAsia" w:ascii="黑体" w:hAnsi="宋体" w:eastAsia="黑体"/>
          <w:szCs w:val="21"/>
        </w:rPr>
        <w:t>（十一）社会健康资源管理</w:t>
      </w:r>
    </w:p>
    <w:p w14:paraId="1B99C223">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1．</w:t>
      </w:r>
      <w:r>
        <w:rPr>
          <w:rFonts w:ascii="Calibri" w:hAnsi="宋体"/>
          <w:szCs w:val="21"/>
        </w:rPr>
        <w:t>考试范围</w:t>
      </w:r>
    </w:p>
    <w:p w14:paraId="0504CAD9">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全章内容。</w:t>
      </w:r>
    </w:p>
    <w:p w14:paraId="17D57BBD">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2．</w:t>
      </w:r>
      <w:r>
        <w:rPr>
          <w:rFonts w:ascii="Calibri" w:hAnsi="宋体"/>
          <w:szCs w:val="21"/>
        </w:rPr>
        <w:t>考试目的</w:t>
      </w:r>
    </w:p>
    <w:p w14:paraId="2A220A48">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hint="eastAsia" w:ascii="Calibri" w:hAnsi="宋体"/>
          <w:szCs w:val="21"/>
        </w:rPr>
        <w:t>熟悉社会健康资源和社会健康资源管理的内容、原则，重点了解社会健康资源管理的法律手段、行政手段和经济手段等</w:t>
      </w:r>
      <w:r>
        <w:rPr>
          <w:rFonts w:ascii="Calibri" w:hAnsi="宋体"/>
          <w:szCs w:val="21"/>
        </w:rPr>
        <w:t>。</w:t>
      </w:r>
    </w:p>
    <w:p w14:paraId="5731D681">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3．</w:t>
      </w:r>
      <w:r>
        <w:rPr>
          <w:rFonts w:ascii="Calibri" w:hAnsi="宋体"/>
          <w:szCs w:val="21"/>
        </w:rPr>
        <w:t>考试要求与内容</w:t>
      </w:r>
    </w:p>
    <w:p w14:paraId="5C74AF3E">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hint="eastAsia" w:ascii="Calibri" w:hAnsi="宋体"/>
          <w:szCs w:val="21"/>
        </w:rPr>
        <w:t>熟悉并了解社会健康资源的概念、特征、功能、分类和存在的形式</w:t>
      </w:r>
      <w:r>
        <w:rPr>
          <w:rFonts w:ascii="Calibri" w:hAnsi="宋体"/>
          <w:szCs w:val="21"/>
        </w:rPr>
        <w:t>。</w:t>
      </w:r>
      <w:r>
        <w:rPr>
          <w:rFonts w:hint="eastAsia" w:ascii="Calibri" w:hAnsi="宋体"/>
          <w:szCs w:val="21"/>
        </w:rPr>
        <w:t>掌握社会健康资源管理的概念、特征、原则和过程。重点了解社会健康资源管理的法律手段、行政手段和经济手段的特点、优缺点等。</w:t>
      </w:r>
    </w:p>
    <w:p w14:paraId="01A73407">
      <w:pPr>
        <w:keepNext w:val="0"/>
        <w:keepLines w:val="0"/>
        <w:pageBreakBefore w:val="0"/>
        <w:kinsoku/>
        <w:wordWrap/>
        <w:overflowPunct/>
        <w:topLinePunct w:val="0"/>
        <w:autoSpaceDN/>
        <w:bidi w:val="0"/>
        <w:adjustRightInd/>
        <w:snapToGrid/>
        <w:spacing w:beforeAutospacing="0" w:afterAutospacing="0" w:line="500" w:lineRule="exact"/>
        <w:textAlignment w:val="auto"/>
        <w:rPr>
          <w:rFonts w:hint="eastAsia" w:ascii="黑体" w:hAnsi="Calibri" w:eastAsia="黑体"/>
          <w:szCs w:val="21"/>
        </w:rPr>
      </w:pPr>
      <w:r>
        <w:rPr>
          <w:rFonts w:hint="eastAsia" w:ascii="黑体" w:hAnsi="宋体" w:eastAsia="黑体"/>
          <w:szCs w:val="21"/>
        </w:rPr>
        <w:t>（十二）医疗服务管理</w:t>
      </w:r>
    </w:p>
    <w:p w14:paraId="45B9F323">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1．</w:t>
      </w:r>
      <w:r>
        <w:rPr>
          <w:rFonts w:ascii="Calibri" w:hAnsi="宋体"/>
          <w:szCs w:val="21"/>
        </w:rPr>
        <w:t>考试范围</w:t>
      </w:r>
    </w:p>
    <w:p w14:paraId="583CF305">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全章内容。</w:t>
      </w:r>
    </w:p>
    <w:p w14:paraId="2889D716">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2．</w:t>
      </w:r>
      <w:r>
        <w:rPr>
          <w:rFonts w:ascii="Calibri" w:hAnsi="宋体"/>
          <w:szCs w:val="21"/>
        </w:rPr>
        <w:t>考试目的</w:t>
      </w:r>
    </w:p>
    <w:p w14:paraId="7EDF602E">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明确</w:t>
      </w:r>
      <w:r>
        <w:rPr>
          <w:rFonts w:hint="eastAsia" w:ascii="Calibri" w:hAnsi="宋体"/>
          <w:szCs w:val="21"/>
        </w:rPr>
        <w:t>医疗服务管理的内涵和准入管理的相关内容，熟悉医疗安全与质量管理，并且重点了解不同医疗服务社会治理的实践</w:t>
      </w:r>
      <w:r>
        <w:rPr>
          <w:rFonts w:ascii="Calibri" w:hAnsi="宋体"/>
          <w:szCs w:val="21"/>
        </w:rPr>
        <w:t>。</w:t>
      </w:r>
    </w:p>
    <w:p w14:paraId="1A4F55FE">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3．</w:t>
      </w:r>
      <w:r>
        <w:rPr>
          <w:rFonts w:ascii="Calibri" w:hAnsi="宋体"/>
          <w:szCs w:val="21"/>
        </w:rPr>
        <w:t>考试要求与内容</w:t>
      </w:r>
    </w:p>
    <w:p w14:paraId="5D4D4A5E">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hint="eastAsia" w:ascii="Calibri" w:hAnsi="宋体"/>
          <w:szCs w:val="21"/>
        </w:rPr>
        <w:t>学习并了解医疗服务的概念、提供主体的构成与分类</w:t>
      </w:r>
      <w:r>
        <w:rPr>
          <w:rFonts w:ascii="Calibri" w:hAnsi="宋体"/>
          <w:szCs w:val="21"/>
        </w:rPr>
        <w:t>。</w:t>
      </w:r>
      <w:r>
        <w:rPr>
          <w:rFonts w:hint="eastAsia" w:ascii="Calibri" w:hAnsi="宋体"/>
          <w:szCs w:val="21"/>
        </w:rPr>
        <w:t>掌握医疗服务管理的概念、特征、原则和手段。熟悉医疗服务准入管理的概念，以及医疗机构、医疗机构服务人员、医疗技术等准入管理的相关内容。掌握医疗安全与质量的影响因素、质量监管、质量控制体系与制度等内容。</w:t>
      </w:r>
      <w:r>
        <w:rPr>
          <w:rFonts w:ascii="Calibri" w:hAnsi="宋体"/>
          <w:szCs w:val="21"/>
        </w:rPr>
        <w:t>熟悉</w:t>
      </w:r>
      <w:r>
        <w:rPr>
          <w:rFonts w:hint="eastAsia" w:ascii="Calibri" w:hAnsi="宋体"/>
          <w:szCs w:val="21"/>
        </w:rPr>
        <w:t>常见</w:t>
      </w:r>
      <w:r>
        <w:rPr>
          <w:rFonts w:ascii="Calibri" w:hAnsi="宋体"/>
          <w:szCs w:val="21"/>
        </w:rPr>
        <w:t>的</w:t>
      </w:r>
      <w:r>
        <w:rPr>
          <w:rFonts w:hint="eastAsia" w:ascii="Calibri" w:hAnsi="宋体"/>
          <w:szCs w:val="21"/>
        </w:rPr>
        <w:t>医疗服务社会治理的实践模式</w:t>
      </w:r>
      <w:r>
        <w:rPr>
          <w:rFonts w:ascii="Calibri" w:hAnsi="宋体"/>
          <w:szCs w:val="21"/>
        </w:rPr>
        <w:t>。</w:t>
      </w:r>
    </w:p>
    <w:p w14:paraId="7C42F3E2">
      <w:pPr>
        <w:keepNext w:val="0"/>
        <w:keepLines w:val="0"/>
        <w:pageBreakBefore w:val="0"/>
        <w:kinsoku/>
        <w:wordWrap/>
        <w:overflowPunct/>
        <w:topLinePunct w:val="0"/>
        <w:autoSpaceDN/>
        <w:bidi w:val="0"/>
        <w:adjustRightInd/>
        <w:snapToGrid/>
        <w:spacing w:beforeAutospacing="0" w:afterAutospacing="0" w:line="500" w:lineRule="exact"/>
        <w:textAlignment w:val="auto"/>
        <w:rPr>
          <w:rFonts w:hint="eastAsia" w:ascii="黑体" w:hAnsi="Calibri" w:eastAsia="黑体"/>
          <w:szCs w:val="21"/>
        </w:rPr>
      </w:pPr>
      <w:r>
        <w:rPr>
          <w:rFonts w:hint="eastAsia" w:ascii="黑体" w:hAnsi="宋体" w:eastAsia="黑体"/>
          <w:szCs w:val="21"/>
        </w:rPr>
        <w:t>（十三）公共卫生服务管理</w:t>
      </w:r>
    </w:p>
    <w:p w14:paraId="21E85570">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1．</w:t>
      </w:r>
      <w:r>
        <w:rPr>
          <w:rFonts w:ascii="Calibri" w:hAnsi="宋体"/>
          <w:szCs w:val="21"/>
        </w:rPr>
        <w:t>考试范围</w:t>
      </w:r>
    </w:p>
    <w:p w14:paraId="1F49C88C">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全章内容。</w:t>
      </w:r>
    </w:p>
    <w:p w14:paraId="7A5C906C">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2．</w:t>
      </w:r>
      <w:r>
        <w:rPr>
          <w:rFonts w:ascii="Calibri" w:hAnsi="宋体"/>
          <w:szCs w:val="21"/>
        </w:rPr>
        <w:t>考试目的</w:t>
      </w:r>
    </w:p>
    <w:p w14:paraId="304D8C2A">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明确</w:t>
      </w:r>
      <w:r>
        <w:rPr>
          <w:rFonts w:hint="eastAsia" w:ascii="Calibri" w:hAnsi="宋体"/>
          <w:szCs w:val="21"/>
        </w:rPr>
        <w:t>公共卫生及公共卫生服务</w:t>
      </w:r>
      <w:r>
        <w:rPr>
          <w:rFonts w:ascii="Calibri" w:hAnsi="宋体"/>
          <w:szCs w:val="21"/>
        </w:rPr>
        <w:t>的概念</w:t>
      </w:r>
      <w:r>
        <w:rPr>
          <w:rFonts w:hint="eastAsia" w:ascii="Calibri" w:hAnsi="宋体"/>
          <w:szCs w:val="21"/>
        </w:rPr>
        <w:t>、特点</w:t>
      </w:r>
      <w:r>
        <w:rPr>
          <w:rFonts w:ascii="Calibri" w:hAnsi="宋体"/>
          <w:szCs w:val="21"/>
        </w:rPr>
        <w:t>，熟悉</w:t>
      </w:r>
      <w:r>
        <w:rPr>
          <w:rFonts w:hint="eastAsia" w:ascii="Calibri" w:hAnsi="宋体"/>
          <w:szCs w:val="21"/>
        </w:rPr>
        <w:t>各类公共卫生服务管理的内容与原则</w:t>
      </w:r>
      <w:r>
        <w:rPr>
          <w:rFonts w:ascii="Calibri" w:hAnsi="宋体"/>
          <w:szCs w:val="21"/>
        </w:rPr>
        <w:t>。</w:t>
      </w:r>
    </w:p>
    <w:p w14:paraId="3920B210">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3．</w:t>
      </w:r>
      <w:r>
        <w:rPr>
          <w:rFonts w:ascii="Calibri" w:hAnsi="宋体"/>
          <w:szCs w:val="21"/>
        </w:rPr>
        <w:t>考试要求与内容</w:t>
      </w:r>
    </w:p>
    <w:p w14:paraId="1904259E">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hint="eastAsia" w:ascii="Calibri" w:hAnsi="Calibri"/>
          <w:szCs w:val="21"/>
        </w:rPr>
      </w:pPr>
      <w:r>
        <w:rPr>
          <w:rFonts w:ascii="Calibri" w:hAnsi="宋体"/>
          <w:szCs w:val="21"/>
        </w:rPr>
        <w:t>明确</w:t>
      </w:r>
      <w:r>
        <w:rPr>
          <w:rFonts w:hint="eastAsia" w:ascii="Calibri" w:hAnsi="宋体"/>
          <w:szCs w:val="21"/>
        </w:rPr>
        <w:t>公共卫生的概念与性质，公共卫生服务的概念、分类与特点，公共卫生服务管理的内容、面临的挑战与问题</w:t>
      </w:r>
      <w:r>
        <w:rPr>
          <w:rFonts w:ascii="Calibri" w:hAnsi="宋体"/>
          <w:szCs w:val="21"/>
        </w:rPr>
        <w:t>。</w:t>
      </w:r>
      <w:r>
        <w:rPr>
          <w:rFonts w:hint="eastAsia" w:ascii="Calibri" w:hAnsi="宋体"/>
          <w:szCs w:val="21"/>
        </w:rPr>
        <w:t>熟悉疾病预防与控制、重点人群公共卫生服务管理、突发公共卫生事件应急管理、急救服务管理的概念与特点，以及具体的管理内容。</w:t>
      </w:r>
    </w:p>
    <w:p w14:paraId="594787EB">
      <w:pPr>
        <w:keepNext w:val="0"/>
        <w:keepLines w:val="0"/>
        <w:pageBreakBefore w:val="0"/>
        <w:kinsoku/>
        <w:wordWrap/>
        <w:overflowPunct/>
        <w:topLinePunct w:val="0"/>
        <w:autoSpaceDN/>
        <w:bidi w:val="0"/>
        <w:adjustRightInd/>
        <w:snapToGrid/>
        <w:spacing w:beforeAutospacing="0" w:afterAutospacing="0" w:line="500" w:lineRule="exact"/>
        <w:textAlignment w:val="auto"/>
        <w:rPr>
          <w:rFonts w:hint="eastAsia" w:ascii="黑体" w:hAnsi="Calibri" w:eastAsia="黑体"/>
          <w:szCs w:val="21"/>
        </w:rPr>
      </w:pPr>
      <w:r>
        <w:rPr>
          <w:rFonts w:hint="eastAsia" w:ascii="黑体" w:hAnsi="宋体" w:eastAsia="黑体"/>
          <w:szCs w:val="21"/>
        </w:rPr>
        <w:t>（十四）药品服务管理</w:t>
      </w:r>
    </w:p>
    <w:p w14:paraId="6EB1C3FA">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1．</w:t>
      </w:r>
      <w:r>
        <w:rPr>
          <w:rFonts w:ascii="Calibri" w:hAnsi="宋体"/>
          <w:szCs w:val="21"/>
        </w:rPr>
        <w:t>考试范围</w:t>
      </w:r>
    </w:p>
    <w:p w14:paraId="7A3EC6FD">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全章内容。</w:t>
      </w:r>
    </w:p>
    <w:p w14:paraId="25899C79">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2．</w:t>
      </w:r>
      <w:r>
        <w:rPr>
          <w:rFonts w:ascii="Calibri" w:hAnsi="宋体"/>
          <w:szCs w:val="21"/>
        </w:rPr>
        <w:t>考试目的</w:t>
      </w:r>
    </w:p>
    <w:p w14:paraId="061F2D20">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了解</w:t>
      </w:r>
      <w:r>
        <w:rPr>
          <w:rFonts w:hint="eastAsia" w:ascii="Calibri" w:hAnsi="宋体"/>
          <w:szCs w:val="21"/>
        </w:rPr>
        <w:t>药品服务管理的内容及其相关的管理机构，掌握药品供应管理、经营与流通管理、使用管理等相关的制度与内容</w:t>
      </w:r>
      <w:r>
        <w:rPr>
          <w:rFonts w:ascii="Calibri" w:hAnsi="宋体"/>
          <w:szCs w:val="21"/>
        </w:rPr>
        <w:t>。</w:t>
      </w:r>
    </w:p>
    <w:p w14:paraId="3722DBA0">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3．</w:t>
      </w:r>
      <w:r>
        <w:rPr>
          <w:rFonts w:ascii="Calibri" w:hAnsi="宋体"/>
          <w:szCs w:val="21"/>
        </w:rPr>
        <w:t>考试要求与内容</w:t>
      </w:r>
    </w:p>
    <w:p w14:paraId="6ED52CF8">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hint="eastAsia" w:ascii="Calibri" w:hAnsi="Calibri"/>
          <w:szCs w:val="21"/>
        </w:rPr>
      </w:pPr>
      <w:r>
        <w:rPr>
          <w:rFonts w:hint="eastAsia" w:ascii="Calibri" w:hAnsi="宋体"/>
          <w:szCs w:val="21"/>
        </w:rPr>
        <w:t>熟悉药品服务管理的概念和各级各类管理机构</w:t>
      </w:r>
      <w:r>
        <w:rPr>
          <w:rFonts w:ascii="Calibri" w:hAnsi="宋体"/>
          <w:szCs w:val="21"/>
        </w:rPr>
        <w:t>。</w:t>
      </w:r>
      <w:r>
        <w:rPr>
          <w:rFonts w:hint="eastAsia" w:ascii="Calibri" w:hAnsi="宋体"/>
          <w:szCs w:val="21"/>
        </w:rPr>
        <w:t>掌握</w:t>
      </w:r>
      <w:r>
        <w:rPr>
          <w:rFonts w:ascii="Calibri" w:hAnsi="宋体"/>
          <w:szCs w:val="21"/>
        </w:rPr>
        <w:t>我国</w:t>
      </w:r>
      <w:r>
        <w:rPr>
          <w:rFonts w:hint="eastAsia" w:ascii="Calibri" w:hAnsi="宋体"/>
          <w:szCs w:val="21"/>
        </w:rPr>
        <w:t>药品生产管理、包装管理、药品上市许可持有人制度、医疗机构药剂管理的相关制度与内容。熟悉药品经营企业的相关管理、药品经营管理、药品价格和广告管理以及药品电子商务等相关制度及规定。学习并掌握国家基本药物制度、药品分类管理制度、药物临床应用管理制度与内容、合理用药含义及基本要求、特殊药品使用管理等相关内容。</w:t>
      </w:r>
    </w:p>
    <w:p w14:paraId="2D869A35">
      <w:pPr>
        <w:keepNext w:val="0"/>
        <w:keepLines w:val="0"/>
        <w:pageBreakBefore w:val="0"/>
        <w:kinsoku/>
        <w:wordWrap/>
        <w:overflowPunct/>
        <w:topLinePunct w:val="0"/>
        <w:autoSpaceDN/>
        <w:bidi w:val="0"/>
        <w:adjustRightInd/>
        <w:snapToGrid/>
        <w:spacing w:beforeAutospacing="0" w:afterAutospacing="0" w:line="500" w:lineRule="exact"/>
        <w:textAlignment w:val="auto"/>
        <w:rPr>
          <w:rFonts w:hint="eastAsia" w:ascii="黑体" w:hAnsi="Calibri" w:eastAsia="黑体"/>
          <w:szCs w:val="21"/>
        </w:rPr>
      </w:pPr>
      <w:r>
        <w:rPr>
          <w:rFonts w:hint="eastAsia" w:ascii="黑体" w:hAnsi="宋体" w:eastAsia="黑体"/>
          <w:szCs w:val="21"/>
        </w:rPr>
        <w:t>（十五）基层卫生服务管理</w:t>
      </w:r>
    </w:p>
    <w:p w14:paraId="4FBCA88F">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1．</w:t>
      </w:r>
      <w:r>
        <w:rPr>
          <w:rFonts w:ascii="Calibri" w:hAnsi="宋体"/>
          <w:szCs w:val="21"/>
        </w:rPr>
        <w:t>考试范围</w:t>
      </w:r>
    </w:p>
    <w:p w14:paraId="0C840C8C">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全章内容。</w:t>
      </w:r>
    </w:p>
    <w:p w14:paraId="6B6742FA">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2．</w:t>
      </w:r>
      <w:r>
        <w:rPr>
          <w:rFonts w:ascii="Calibri" w:hAnsi="宋体"/>
          <w:szCs w:val="21"/>
        </w:rPr>
        <w:t>考试目的</w:t>
      </w:r>
    </w:p>
    <w:p w14:paraId="4B33DD11">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hint="eastAsia" w:ascii="Calibri" w:hAnsi="Calibri"/>
          <w:szCs w:val="21"/>
        </w:rPr>
      </w:pPr>
      <w:r>
        <w:rPr>
          <w:rFonts w:hint="eastAsia" w:ascii="Calibri" w:hAnsi="宋体"/>
          <w:szCs w:val="21"/>
        </w:rPr>
        <w:t>熟悉基层卫生服务的意义、内容与服务方式，重点了解城市和农村基层卫生服务的管理体系。</w:t>
      </w:r>
    </w:p>
    <w:p w14:paraId="55D0C693">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3．</w:t>
      </w:r>
      <w:r>
        <w:rPr>
          <w:rFonts w:ascii="Calibri" w:hAnsi="宋体"/>
          <w:szCs w:val="21"/>
        </w:rPr>
        <w:t>考试要求与内容</w:t>
      </w:r>
    </w:p>
    <w:p w14:paraId="21862926">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了解</w:t>
      </w:r>
      <w:r>
        <w:rPr>
          <w:rFonts w:hint="eastAsia" w:ascii="Calibri" w:hAnsi="宋体"/>
          <w:szCs w:val="21"/>
        </w:rPr>
        <w:t>基层卫生服务的基本概念及辨析，熟悉基层卫生服务的意义、基本内容与服务方式</w:t>
      </w:r>
      <w:r>
        <w:rPr>
          <w:rFonts w:ascii="Calibri" w:hAnsi="宋体"/>
          <w:szCs w:val="21"/>
        </w:rPr>
        <w:t>。</w:t>
      </w:r>
      <w:r>
        <w:rPr>
          <w:rFonts w:hint="eastAsia" w:ascii="Calibri" w:hAnsi="宋体"/>
          <w:szCs w:val="21"/>
        </w:rPr>
        <w:t>掌握</w:t>
      </w:r>
      <w:r>
        <w:rPr>
          <w:rFonts w:ascii="Calibri" w:hAnsi="宋体"/>
          <w:szCs w:val="21"/>
        </w:rPr>
        <w:t>我国</w:t>
      </w:r>
      <w:r>
        <w:rPr>
          <w:rFonts w:hint="eastAsia" w:ascii="Calibri" w:hAnsi="宋体"/>
          <w:szCs w:val="21"/>
        </w:rPr>
        <w:t>城市和农村基层卫生服务的发展阶段、功能和任务、管理机制和内容等</w:t>
      </w:r>
      <w:r>
        <w:rPr>
          <w:rFonts w:ascii="Calibri" w:hAnsi="宋体"/>
          <w:szCs w:val="21"/>
        </w:rPr>
        <w:t>。</w:t>
      </w:r>
    </w:p>
    <w:p w14:paraId="676D81A9">
      <w:pPr>
        <w:keepNext w:val="0"/>
        <w:keepLines w:val="0"/>
        <w:pageBreakBefore w:val="0"/>
        <w:kinsoku/>
        <w:wordWrap/>
        <w:overflowPunct/>
        <w:topLinePunct w:val="0"/>
        <w:autoSpaceDN/>
        <w:bidi w:val="0"/>
        <w:adjustRightInd/>
        <w:snapToGrid/>
        <w:spacing w:beforeAutospacing="0" w:afterAutospacing="0" w:line="500" w:lineRule="exact"/>
        <w:textAlignment w:val="auto"/>
        <w:rPr>
          <w:rFonts w:hint="eastAsia" w:ascii="黑体" w:hAnsi="Calibri" w:eastAsia="黑体"/>
          <w:szCs w:val="21"/>
        </w:rPr>
      </w:pPr>
      <w:r>
        <w:rPr>
          <w:rFonts w:hint="eastAsia" w:ascii="黑体" w:hAnsi="宋体" w:eastAsia="黑体"/>
          <w:szCs w:val="21"/>
        </w:rPr>
        <w:t>（十六）中医药服务管理</w:t>
      </w:r>
    </w:p>
    <w:p w14:paraId="4BA2B9E6">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1．</w:t>
      </w:r>
      <w:r>
        <w:rPr>
          <w:rFonts w:ascii="Calibri" w:hAnsi="宋体"/>
          <w:szCs w:val="21"/>
        </w:rPr>
        <w:t>考试范围</w:t>
      </w:r>
    </w:p>
    <w:p w14:paraId="4C01CFCF">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全章内容。</w:t>
      </w:r>
    </w:p>
    <w:p w14:paraId="4E9A8A64">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2．</w:t>
      </w:r>
      <w:r>
        <w:rPr>
          <w:rFonts w:ascii="Calibri" w:hAnsi="宋体"/>
          <w:szCs w:val="21"/>
        </w:rPr>
        <w:t>考试目的</w:t>
      </w:r>
    </w:p>
    <w:p w14:paraId="1074F960">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hint="eastAsia" w:ascii="Calibri" w:hAnsi="宋体"/>
          <w:szCs w:val="21"/>
        </w:rPr>
        <w:t>学习并了解中医药发展与中医药服务、中医药服务制度与管理、中西医结合管理的相关内容</w:t>
      </w:r>
      <w:r>
        <w:rPr>
          <w:rFonts w:ascii="Calibri" w:hAnsi="宋体"/>
          <w:szCs w:val="21"/>
        </w:rPr>
        <w:t>。</w:t>
      </w:r>
    </w:p>
    <w:p w14:paraId="5281BC4A">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3．</w:t>
      </w:r>
      <w:r>
        <w:rPr>
          <w:rFonts w:ascii="Calibri" w:hAnsi="宋体"/>
          <w:szCs w:val="21"/>
        </w:rPr>
        <w:t>考试要求与内容</w:t>
      </w:r>
    </w:p>
    <w:p w14:paraId="28A5DCB3">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hint="eastAsia" w:ascii="Calibri" w:hAnsi="宋体"/>
          <w:szCs w:val="21"/>
        </w:rPr>
        <w:t>了解传统医学与中医药学的关系，熟悉我国中医药事业发展历程与政策、成就，掌握中医药服务的内容、基本要求和特点，以及中医药服务体系相关内容。掌握中医药管理体制，以及中医药服务的准入管理、质量管理、价格与支付管理</w:t>
      </w:r>
      <w:r>
        <w:rPr>
          <w:rFonts w:ascii="Calibri" w:hAnsi="宋体"/>
          <w:szCs w:val="21"/>
        </w:rPr>
        <w:t>。</w:t>
      </w:r>
      <w:r>
        <w:rPr>
          <w:rFonts w:hint="eastAsia" w:ascii="Calibri" w:hAnsi="宋体"/>
          <w:szCs w:val="21"/>
        </w:rPr>
        <w:t>熟悉中西医结合服务的概念、目标、原则及意义，掌握中西医结合服务的准入和质量管理。</w:t>
      </w:r>
    </w:p>
    <w:p w14:paraId="4723410E">
      <w:pPr>
        <w:keepNext w:val="0"/>
        <w:keepLines w:val="0"/>
        <w:pageBreakBefore w:val="0"/>
        <w:kinsoku/>
        <w:wordWrap/>
        <w:overflowPunct/>
        <w:topLinePunct w:val="0"/>
        <w:autoSpaceDN/>
        <w:bidi w:val="0"/>
        <w:adjustRightInd/>
        <w:snapToGrid/>
        <w:spacing w:beforeAutospacing="0" w:afterAutospacing="0" w:line="500" w:lineRule="exact"/>
        <w:textAlignment w:val="auto"/>
        <w:rPr>
          <w:rFonts w:ascii="黑体" w:hAnsi="宋体" w:eastAsia="黑体"/>
          <w:szCs w:val="21"/>
        </w:rPr>
      </w:pPr>
      <w:r>
        <w:rPr>
          <w:rFonts w:hint="eastAsia" w:ascii="黑体" w:hAnsi="宋体" w:eastAsia="黑体"/>
          <w:szCs w:val="21"/>
        </w:rPr>
        <w:t>（十七）卫生服务整合</w:t>
      </w:r>
    </w:p>
    <w:p w14:paraId="60046E2C">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1．</w:t>
      </w:r>
      <w:r>
        <w:rPr>
          <w:rFonts w:ascii="Calibri" w:hAnsi="宋体"/>
          <w:szCs w:val="21"/>
        </w:rPr>
        <w:t>考试范围</w:t>
      </w:r>
    </w:p>
    <w:p w14:paraId="083D1042">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全章内容。</w:t>
      </w:r>
    </w:p>
    <w:p w14:paraId="7F1117AE">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宋体"/>
          <w:szCs w:val="21"/>
        </w:rPr>
      </w:pPr>
      <w:r>
        <w:rPr>
          <w:rFonts w:hint="eastAsia" w:ascii="Calibri" w:hAnsi="宋体"/>
          <w:szCs w:val="21"/>
        </w:rPr>
        <w:t>2．</w:t>
      </w:r>
      <w:r>
        <w:rPr>
          <w:rFonts w:ascii="Calibri" w:hAnsi="宋体"/>
          <w:szCs w:val="21"/>
        </w:rPr>
        <w:t>考试目的</w:t>
      </w:r>
    </w:p>
    <w:p w14:paraId="3F3C75BC">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hint="eastAsia" w:ascii="Calibri" w:hAnsi="Calibri"/>
          <w:szCs w:val="21"/>
        </w:rPr>
      </w:pPr>
      <w:r>
        <w:rPr>
          <w:rFonts w:hint="eastAsia" w:ascii="Calibri" w:hAnsi="Calibri"/>
          <w:szCs w:val="21"/>
        </w:rPr>
        <w:t>明确卫生服务整合的概念和基本内容，把握分级诊疗服务与卫生服务整合的关系，熟悉卫生服务整合机制。</w:t>
      </w:r>
    </w:p>
    <w:p w14:paraId="0074B354">
      <w:pPr>
        <w:spacing w:line="500" w:lineRule="exact"/>
        <w:ind w:firstLine="210" w:firstLineChars="100"/>
        <w:rPr>
          <w:rFonts w:ascii="Calibri" w:hAnsi="Calibri"/>
          <w:szCs w:val="21"/>
        </w:rPr>
      </w:pPr>
      <w:r>
        <w:rPr>
          <w:rFonts w:hint="eastAsia" w:ascii="Calibri" w:hAnsi="宋体"/>
          <w:szCs w:val="21"/>
        </w:rPr>
        <w:t>3．</w:t>
      </w:r>
      <w:r>
        <w:rPr>
          <w:rFonts w:ascii="Calibri" w:hAnsi="宋体"/>
          <w:szCs w:val="21"/>
        </w:rPr>
        <w:t>考试要求与内容</w:t>
      </w:r>
    </w:p>
    <w:p w14:paraId="2E3BDEA7">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hint="eastAsia" w:ascii="Calibri" w:hAnsi="Calibri"/>
          <w:szCs w:val="21"/>
        </w:rPr>
      </w:pPr>
      <w:r>
        <w:rPr>
          <w:rFonts w:hint="eastAsia" w:ascii="Calibri" w:hAnsi="Calibri"/>
          <w:szCs w:val="21"/>
        </w:rPr>
        <w:t>掌握卫生服务整合的概念、覆盖人群、目标、形式、层次和程度。熟悉分级诊疗的内涵和主要内容，并且把握分级诊疗服务与卫生服务整合的关系，掌握实现分级诊疗服务的基础条件。学习并重点了解卫生服务整合机制的概念、管理机制、市场机制和机制体系。</w:t>
      </w:r>
    </w:p>
    <w:p w14:paraId="6BF23FBC">
      <w:pPr>
        <w:keepNext w:val="0"/>
        <w:keepLines w:val="0"/>
        <w:pageBreakBefore w:val="0"/>
        <w:kinsoku/>
        <w:wordWrap/>
        <w:overflowPunct/>
        <w:topLinePunct w:val="0"/>
        <w:autoSpaceDN/>
        <w:bidi w:val="0"/>
        <w:adjustRightInd/>
        <w:snapToGrid/>
        <w:spacing w:beforeAutospacing="0" w:afterAutospacing="0" w:line="500" w:lineRule="exact"/>
        <w:textAlignment w:val="auto"/>
        <w:rPr>
          <w:rFonts w:ascii="黑体" w:hAnsi="宋体" w:eastAsia="黑体"/>
          <w:szCs w:val="21"/>
        </w:rPr>
      </w:pPr>
      <w:r>
        <w:rPr>
          <w:rFonts w:hint="eastAsia" w:ascii="黑体" w:hAnsi="宋体" w:eastAsia="黑体"/>
          <w:szCs w:val="21"/>
        </w:rPr>
        <w:t>（十八）健康评价与健康治理</w:t>
      </w:r>
    </w:p>
    <w:p w14:paraId="5EBEAEB7">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1．</w:t>
      </w:r>
      <w:r>
        <w:rPr>
          <w:rFonts w:ascii="Calibri" w:hAnsi="宋体"/>
          <w:szCs w:val="21"/>
        </w:rPr>
        <w:t>考试范围</w:t>
      </w:r>
    </w:p>
    <w:p w14:paraId="63542DA3">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全章内容。</w:t>
      </w:r>
    </w:p>
    <w:p w14:paraId="02FA6710">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宋体"/>
          <w:szCs w:val="21"/>
        </w:rPr>
      </w:pPr>
      <w:r>
        <w:rPr>
          <w:rFonts w:hint="eastAsia" w:ascii="Calibri" w:hAnsi="宋体"/>
          <w:szCs w:val="21"/>
        </w:rPr>
        <w:t>2．</w:t>
      </w:r>
      <w:r>
        <w:rPr>
          <w:rFonts w:ascii="Calibri" w:hAnsi="宋体"/>
          <w:szCs w:val="21"/>
        </w:rPr>
        <w:t>考试目的</w:t>
      </w:r>
    </w:p>
    <w:p w14:paraId="2644DA80">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hint="eastAsia" w:ascii="Calibri" w:hAnsi="宋体"/>
          <w:szCs w:val="21"/>
        </w:rPr>
      </w:pPr>
      <w:r>
        <w:rPr>
          <w:rFonts w:hint="eastAsia" w:ascii="Calibri" w:hAnsi="宋体"/>
          <w:szCs w:val="21"/>
        </w:rPr>
        <w:t>学习健康评价的内容与相关指标，熟悉健康评价的过程与常用方法，了解健康治理的相关内容。</w:t>
      </w:r>
    </w:p>
    <w:p w14:paraId="5A662F90">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3．</w:t>
      </w:r>
      <w:r>
        <w:rPr>
          <w:rFonts w:ascii="Calibri" w:hAnsi="宋体"/>
          <w:szCs w:val="21"/>
        </w:rPr>
        <w:t>考试要求与内容</w:t>
      </w:r>
    </w:p>
    <w:p w14:paraId="439A96B7">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hint="eastAsia" w:ascii="宋体" w:hAnsi="宋体"/>
          <w:szCs w:val="21"/>
        </w:rPr>
      </w:pPr>
      <w:r>
        <w:rPr>
          <w:rFonts w:hint="eastAsia" w:ascii="宋体" w:hAnsi="宋体"/>
          <w:szCs w:val="21"/>
        </w:rPr>
        <w:t>掌握健康评价的相关概念、评价内容与相关指标，熟悉评价的目标和原则、过程和应用，重点了解基于寿命表的健康评价方法、健康综合评价法、综合指数法等健康评价常用方法。掌握健康治理的含义、内容、协同机制等相关内容。</w:t>
      </w:r>
    </w:p>
    <w:p w14:paraId="318BC24B">
      <w:pPr>
        <w:keepNext w:val="0"/>
        <w:keepLines w:val="0"/>
        <w:pageBreakBefore w:val="0"/>
        <w:kinsoku/>
        <w:wordWrap/>
        <w:overflowPunct/>
        <w:topLinePunct w:val="0"/>
        <w:autoSpaceDN/>
        <w:bidi w:val="0"/>
        <w:adjustRightInd/>
        <w:snapToGrid/>
        <w:spacing w:beforeAutospacing="0" w:afterAutospacing="0" w:line="500" w:lineRule="exact"/>
        <w:textAlignment w:val="auto"/>
        <w:rPr>
          <w:rFonts w:ascii="黑体" w:hAnsi="宋体" w:eastAsia="黑体"/>
          <w:szCs w:val="21"/>
        </w:rPr>
      </w:pPr>
      <w:r>
        <w:rPr>
          <w:rFonts w:hint="eastAsia" w:ascii="黑体" w:hAnsi="宋体" w:eastAsia="黑体"/>
          <w:szCs w:val="21"/>
        </w:rPr>
        <w:t>（十九）卫生系统绩效评价与绩效管理</w:t>
      </w:r>
    </w:p>
    <w:p w14:paraId="338A11B2">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1．</w:t>
      </w:r>
      <w:r>
        <w:rPr>
          <w:rFonts w:ascii="Calibri" w:hAnsi="宋体"/>
          <w:szCs w:val="21"/>
        </w:rPr>
        <w:t>考试范围</w:t>
      </w:r>
    </w:p>
    <w:p w14:paraId="2D14A3DF">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全章内容。</w:t>
      </w:r>
    </w:p>
    <w:p w14:paraId="447BE98D">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宋体"/>
          <w:szCs w:val="21"/>
        </w:rPr>
      </w:pPr>
      <w:r>
        <w:rPr>
          <w:rFonts w:hint="eastAsia" w:ascii="Calibri" w:hAnsi="宋体"/>
          <w:szCs w:val="21"/>
        </w:rPr>
        <w:t>2．</w:t>
      </w:r>
      <w:r>
        <w:rPr>
          <w:rFonts w:ascii="Calibri" w:hAnsi="宋体"/>
          <w:szCs w:val="21"/>
        </w:rPr>
        <w:t>考试目的</w:t>
      </w:r>
    </w:p>
    <w:p w14:paraId="7A065126">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hint="eastAsia" w:ascii="Calibri" w:hAnsi="Calibri"/>
          <w:szCs w:val="21"/>
        </w:rPr>
      </w:pPr>
      <w:r>
        <w:rPr>
          <w:rFonts w:hint="eastAsia" w:ascii="Calibri" w:hAnsi="Calibri"/>
          <w:szCs w:val="21"/>
        </w:rPr>
        <w:t>明确卫生系统绩效评价的概念、方法，掌握卫生系统绩效管理的流程和方法。</w:t>
      </w:r>
    </w:p>
    <w:p w14:paraId="364EB355">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3．</w:t>
      </w:r>
      <w:r>
        <w:rPr>
          <w:rFonts w:ascii="Calibri" w:hAnsi="宋体"/>
          <w:szCs w:val="21"/>
        </w:rPr>
        <w:t>考试要求与内容</w:t>
      </w:r>
    </w:p>
    <w:p w14:paraId="2F459493">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hint="eastAsia" w:ascii="宋体" w:hAnsi="宋体"/>
          <w:szCs w:val="21"/>
        </w:rPr>
      </w:pPr>
      <w:r>
        <w:rPr>
          <w:rFonts w:hint="eastAsia" w:ascii="宋体" w:hAnsi="宋体"/>
          <w:szCs w:val="21"/>
        </w:rPr>
        <w:t>掌握绩效评价的相关概念、理论和方法，卫生绩效评价的框架、指标及测评、评价方法，熟悉卫生绩效管理的概念，学习并掌握卫生绩效管理的流程和方法等。</w:t>
      </w:r>
    </w:p>
    <w:p w14:paraId="48B4D568">
      <w:pPr>
        <w:keepNext w:val="0"/>
        <w:keepLines w:val="0"/>
        <w:pageBreakBefore w:val="0"/>
        <w:kinsoku/>
        <w:wordWrap/>
        <w:overflowPunct/>
        <w:topLinePunct w:val="0"/>
        <w:autoSpaceDN/>
        <w:bidi w:val="0"/>
        <w:adjustRightInd/>
        <w:snapToGrid/>
        <w:spacing w:beforeAutospacing="0" w:afterAutospacing="0" w:line="500" w:lineRule="exact"/>
        <w:textAlignment w:val="auto"/>
        <w:rPr>
          <w:rFonts w:hint="eastAsia" w:ascii="黑体" w:hAnsi="Calibri" w:eastAsia="黑体"/>
          <w:szCs w:val="21"/>
        </w:rPr>
      </w:pPr>
      <w:r>
        <w:rPr>
          <w:rFonts w:hint="eastAsia" w:ascii="黑体" w:hAnsi="宋体" w:eastAsia="黑体"/>
          <w:szCs w:val="21"/>
        </w:rPr>
        <w:t>（二十）卫生服务机构绩效评价与绩效控制</w:t>
      </w:r>
    </w:p>
    <w:p w14:paraId="165CD8FF">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1．</w:t>
      </w:r>
      <w:r>
        <w:rPr>
          <w:rFonts w:ascii="Calibri" w:hAnsi="宋体"/>
          <w:szCs w:val="21"/>
        </w:rPr>
        <w:t>考试范围</w:t>
      </w:r>
    </w:p>
    <w:p w14:paraId="50F91AA9">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全章内容。</w:t>
      </w:r>
    </w:p>
    <w:p w14:paraId="3F70534B">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宋体"/>
          <w:szCs w:val="21"/>
        </w:rPr>
      </w:pPr>
      <w:r>
        <w:rPr>
          <w:rFonts w:hint="eastAsia" w:ascii="Calibri" w:hAnsi="宋体"/>
          <w:szCs w:val="21"/>
        </w:rPr>
        <w:t>2．</w:t>
      </w:r>
      <w:r>
        <w:rPr>
          <w:rFonts w:ascii="Calibri" w:hAnsi="宋体"/>
          <w:szCs w:val="21"/>
        </w:rPr>
        <w:t>考试目的</w:t>
      </w:r>
    </w:p>
    <w:p w14:paraId="7B5D7E66">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hint="eastAsia" w:ascii="Calibri" w:hAnsi="Calibri"/>
          <w:szCs w:val="21"/>
        </w:rPr>
      </w:pPr>
      <w:r>
        <w:rPr>
          <w:rFonts w:hint="eastAsia" w:ascii="Calibri" w:hAnsi="Calibri"/>
          <w:szCs w:val="21"/>
        </w:rPr>
        <w:t>熟悉卫生服务机构的评价框架、指标体系、评价方法，掌握卫生系统绩效控制和评价的实施等。</w:t>
      </w:r>
    </w:p>
    <w:p w14:paraId="6B583BF1">
      <w:pPr>
        <w:keepNext w:val="0"/>
        <w:keepLines w:val="0"/>
        <w:pageBreakBefore w:val="0"/>
        <w:kinsoku/>
        <w:wordWrap/>
        <w:overflowPunct/>
        <w:topLinePunct w:val="0"/>
        <w:autoSpaceDN/>
        <w:bidi w:val="0"/>
        <w:adjustRightInd/>
        <w:snapToGrid/>
        <w:spacing w:beforeAutospacing="0" w:afterAutospacing="0" w:line="500" w:lineRule="exact"/>
        <w:ind w:firstLine="210" w:firstLineChars="100"/>
        <w:textAlignment w:val="auto"/>
        <w:rPr>
          <w:rFonts w:ascii="Calibri" w:hAnsi="Calibri"/>
          <w:szCs w:val="21"/>
        </w:rPr>
      </w:pPr>
      <w:r>
        <w:rPr>
          <w:rFonts w:hint="eastAsia" w:ascii="Calibri" w:hAnsi="宋体"/>
          <w:szCs w:val="21"/>
        </w:rPr>
        <w:t>3．</w:t>
      </w:r>
      <w:r>
        <w:rPr>
          <w:rFonts w:ascii="Calibri" w:hAnsi="宋体"/>
          <w:szCs w:val="21"/>
        </w:rPr>
        <w:t>考试要求与内容</w:t>
      </w:r>
    </w:p>
    <w:p w14:paraId="3250BA89">
      <w:pPr>
        <w:spacing w:line="500" w:lineRule="exact"/>
        <w:ind w:firstLine="420" w:firstLineChars="200"/>
        <w:rPr>
          <w:rFonts w:ascii="Calibri" w:hAnsi="Calibri"/>
          <w:szCs w:val="21"/>
        </w:rPr>
      </w:pPr>
      <w:r>
        <w:rPr>
          <w:rFonts w:hint="eastAsia" w:ascii="Calibri" w:hAnsi="Calibri"/>
          <w:szCs w:val="21"/>
        </w:rPr>
        <w:t>掌握我国卫生服务机构的体系、卫生服务机构绩效评价的概念和特点、卫生服务机构绩效评价的意义和相关进展。学习并了解卫生服务机构绩效评价的框架、指标体系及常用评价方法。掌握卫生服务机构绩效控制的模式和意义，熟悉不同类型卫生机构绩效评价的实施、流程、结果反馈与应用。</w:t>
      </w:r>
    </w:p>
    <w:p w14:paraId="4055D95F">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p>
    <w:p w14:paraId="4930488F">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hint="eastAsia" w:ascii="Calibri" w:hAnsi="Calibri"/>
          <w:szCs w:val="21"/>
        </w:rPr>
      </w:pPr>
    </w:p>
    <w:p w14:paraId="5979ADE1">
      <w:pPr>
        <w:keepNext w:val="0"/>
        <w:keepLines w:val="0"/>
        <w:pageBreakBefore w:val="0"/>
        <w:kinsoku/>
        <w:wordWrap/>
        <w:overflowPunct/>
        <w:topLinePunct w:val="0"/>
        <w:autoSpaceDN/>
        <w:bidi w:val="0"/>
        <w:adjustRightInd/>
        <w:snapToGrid/>
        <w:spacing w:beforeAutospacing="0" w:afterAutospacing="0" w:line="500" w:lineRule="exact"/>
        <w:jc w:val="center"/>
        <w:textAlignment w:val="auto"/>
        <w:rPr>
          <w:rFonts w:ascii="Calibri" w:hAnsi="宋体"/>
          <w:b/>
          <w:sz w:val="28"/>
          <w:szCs w:val="21"/>
        </w:rPr>
      </w:pPr>
      <w:r>
        <w:rPr>
          <w:rFonts w:ascii="Calibri" w:hAnsi="宋体"/>
          <w:b/>
          <w:sz w:val="28"/>
          <w:szCs w:val="21"/>
        </w:rPr>
        <w:br w:type="page"/>
      </w:r>
      <w:r>
        <w:rPr>
          <w:rFonts w:ascii="Calibri" w:hAnsi="宋体"/>
          <w:b/>
          <w:sz w:val="28"/>
          <w:szCs w:val="21"/>
        </w:rPr>
        <w:t>社会医学部分</w:t>
      </w:r>
    </w:p>
    <w:p w14:paraId="1E066233">
      <w:pPr>
        <w:keepNext w:val="0"/>
        <w:keepLines w:val="0"/>
        <w:pageBreakBefore w:val="0"/>
        <w:kinsoku/>
        <w:wordWrap/>
        <w:overflowPunct/>
        <w:topLinePunct w:val="0"/>
        <w:autoSpaceDN/>
        <w:bidi w:val="0"/>
        <w:adjustRightInd/>
        <w:snapToGrid/>
        <w:spacing w:beforeAutospacing="0" w:afterAutospacing="0" w:line="500" w:lineRule="exact"/>
        <w:jc w:val="center"/>
        <w:textAlignment w:val="auto"/>
        <w:rPr>
          <w:rFonts w:ascii="Calibri" w:hAnsi="Calibri"/>
          <w:b/>
          <w:szCs w:val="21"/>
        </w:rPr>
      </w:pPr>
      <w:r>
        <w:rPr>
          <w:rFonts w:hint="eastAsia" w:ascii="Calibri" w:hAnsi="宋体"/>
          <w:b/>
          <w:szCs w:val="21"/>
        </w:rPr>
        <w:t>（《社会医学（第2版）》，主编卢祖洵、程峰，人民卫生出版社2024年出版）</w:t>
      </w:r>
    </w:p>
    <w:p w14:paraId="2B03D509">
      <w:pPr>
        <w:keepNext w:val="0"/>
        <w:keepLines w:val="0"/>
        <w:pageBreakBefore w:val="0"/>
        <w:kinsoku/>
        <w:wordWrap/>
        <w:overflowPunct/>
        <w:topLinePunct w:val="0"/>
        <w:autoSpaceDN/>
        <w:bidi w:val="0"/>
        <w:adjustRightInd/>
        <w:snapToGrid/>
        <w:spacing w:beforeAutospacing="0" w:afterAutospacing="0" w:line="500" w:lineRule="exact"/>
        <w:textAlignment w:val="auto"/>
        <w:rPr>
          <w:rFonts w:hint="eastAsia" w:ascii="黑体" w:hAnsi="Calibri" w:eastAsia="黑体"/>
          <w:szCs w:val="21"/>
        </w:rPr>
      </w:pPr>
      <w:r>
        <w:rPr>
          <w:rFonts w:hint="eastAsia" w:ascii="黑体" w:hAnsi="宋体" w:eastAsia="黑体"/>
          <w:szCs w:val="21"/>
        </w:rPr>
        <w:t>（一）绪论</w:t>
      </w:r>
    </w:p>
    <w:p w14:paraId="3C750B54">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掌握：社会医学的概念、性质、研究内容、基本任务。</w:t>
      </w:r>
    </w:p>
    <w:p w14:paraId="514EB6C1">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熟悉：社会医学的基本理论和三次卫生革命。</w:t>
      </w:r>
    </w:p>
    <w:p w14:paraId="4C01DE3B">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了解：社会医学与相关学科的关系，社会医学的历史发展。</w:t>
      </w:r>
    </w:p>
    <w:p w14:paraId="612830C0">
      <w:pPr>
        <w:keepNext w:val="0"/>
        <w:keepLines w:val="0"/>
        <w:pageBreakBefore w:val="0"/>
        <w:kinsoku/>
        <w:wordWrap/>
        <w:overflowPunct/>
        <w:topLinePunct w:val="0"/>
        <w:autoSpaceDN/>
        <w:bidi w:val="0"/>
        <w:adjustRightInd/>
        <w:snapToGrid/>
        <w:spacing w:beforeAutospacing="0" w:afterAutospacing="0" w:line="500" w:lineRule="exact"/>
        <w:textAlignment w:val="auto"/>
        <w:rPr>
          <w:rFonts w:hint="eastAsia" w:ascii="黑体" w:hAnsi="Calibri" w:eastAsia="黑体"/>
          <w:szCs w:val="21"/>
        </w:rPr>
      </w:pPr>
      <w:r>
        <w:rPr>
          <w:rFonts w:hint="eastAsia" w:ascii="黑体" w:hAnsi="宋体" w:eastAsia="黑体"/>
          <w:szCs w:val="21"/>
        </w:rPr>
        <w:t>（二）医学模式</w:t>
      </w:r>
    </w:p>
    <w:p w14:paraId="51B6233F">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掌握：医学模式的概念</w:t>
      </w:r>
      <w:r>
        <w:rPr>
          <w:rFonts w:hint="eastAsia" w:ascii="Calibri" w:hAnsi="宋体"/>
          <w:szCs w:val="21"/>
        </w:rPr>
        <w:t>、特点、作用</w:t>
      </w:r>
      <w:r>
        <w:rPr>
          <w:rFonts w:ascii="Calibri" w:hAnsi="宋体"/>
          <w:szCs w:val="21"/>
        </w:rPr>
        <w:t>，现代医学模式产生的背景</w:t>
      </w:r>
      <w:r>
        <w:rPr>
          <w:rFonts w:hint="eastAsia" w:ascii="Calibri" w:hAnsi="宋体"/>
          <w:szCs w:val="21"/>
        </w:rPr>
        <w:t>、凝聚过程</w:t>
      </w:r>
      <w:r>
        <w:rPr>
          <w:rFonts w:ascii="Calibri" w:hAnsi="宋体"/>
          <w:szCs w:val="21"/>
        </w:rPr>
        <w:t>，现代医学模式的基本内涵及</w:t>
      </w:r>
      <w:r>
        <w:rPr>
          <w:rFonts w:hint="eastAsia" w:ascii="Calibri" w:hAnsi="宋体"/>
          <w:szCs w:val="21"/>
        </w:rPr>
        <w:t>基本观点，现代医学模式的影响</w:t>
      </w:r>
      <w:r>
        <w:rPr>
          <w:rFonts w:ascii="Calibri" w:hAnsi="宋体"/>
          <w:szCs w:val="21"/>
        </w:rPr>
        <w:t>。</w:t>
      </w:r>
    </w:p>
    <w:p w14:paraId="00361589">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熟悉：医学模式的演变过程及其规律。</w:t>
      </w:r>
    </w:p>
    <w:p w14:paraId="5C09FE91">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了解：神灵主义医学模式，自然哲学医学模式，机械论医学模式</w:t>
      </w:r>
      <w:r>
        <w:rPr>
          <w:rFonts w:hint="eastAsia" w:ascii="Calibri" w:hAnsi="宋体"/>
          <w:szCs w:val="21"/>
        </w:rPr>
        <w:t>、生物医学模式</w:t>
      </w:r>
      <w:r>
        <w:rPr>
          <w:rFonts w:ascii="Calibri" w:hAnsi="宋体"/>
          <w:szCs w:val="21"/>
        </w:rPr>
        <w:t>的基本观点。</w:t>
      </w:r>
    </w:p>
    <w:p w14:paraId="11DE198B">
      <w:pPr>
        <w:keepNext w:val="0"/>
        <w:keepLines w:val="0"/>
        <w:pageBreakBefore w:val="0"/>
        <w:kinsoku/>
        <w:wordWrap/>
        <w:overflowPunct/>
        <w:topLinePunct w:val="0"/>
        <w:autoSpaceDN/>
        <w:bidi w:val="0"/>
        <w:adjustRightInd/>
        <w:snapToGrid/>
        <w:spacing w:beforeAutospacing="0" w:afterAutospacing="0" w:line="500" w:lineRule="exact"/>
        <w:textAlignment w:val="auto"/>
        <w:rPr>
          <w:rFonts w:hint="eastAsia" w:ascii="黑体" w:hAnsi="宋体" w:eastAsia="黑体"/>
          <w:szCs w:val="21"/>
        </w:rPr>
      </w:pPr>
      <w:r>
        <w:rPr>
          <w:rFonts w:hint="eastAsia" w:ascii="黑体" w:hAnsi="宋体" w:eastAsia="黑体"/>
          <w:szCs w:val="21"/>
        </w:rPr>
        <w:t>（三）社会医学基本理论</w:t>
      </w:r>
    </w:p>
    <w:p w14:paraId="34B57407">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hint="eastAsia" w:ascii="Calibri" w:hAnsi="宋体"/>
          <w:szCs w:val="21"/>
        </w:rPr>
      </w:pPr>
      <w:r>
        <w:rPr>
          <w:rFonts w:ascii="Calibri" w:hAnsi="宋体"/>
          <w:szCs w:val="21"/>
        </w:rPr>
        <w:t>掌握：</w:t>
      </w:r>
      <w:r>
        <w:rPr>
          <w:rFonts w:hint="eastAsia" w:ascii="Calibri" w:hAnsi="宋体"/>
          <w:szCs w:val="21"/>
        </w:rPr>
        <w:t>社会医学基本理论及其内涵。</w:t>
      </w:r>
    </w:p>
    <w:p w14:paraId="55A746F8">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熟悉：</w:t>
      </w:r>
      <w:r>
        <w:rPr>
          <w:rFonts w:hint="eastAsia" w:ascii="Calibri" w:hAnsi="宋体"/>
          <w:szCs w:val="21"/>
        </w:rPr>
        <w:t>社会医学基本理论的主要特点。</w:t>
      </w:r>
    </w:p>
    <w:p w14:paraId="193D2B84">
      <w:pPr>
        <w:keepNext w:val="0"/>
        <w:keepLines w:val="0"/>
        <w:pageBreakBefore w:val="0"/>
        <w:kinsoku/>
        <w:wordWrap/>
        <w:overflowPunct/>
        <w:topLinePunct w:val="0"/>
        <w:autoSpaceDN/>
        <w:bidi w:val="0"/>
        <w:adjustRightInd/>
        <w:snapToGrid/>
        <w:spacing w:beforeAutospacing="0" w:afterAutospacing="0" w:line="500" w:lineRule="exact"/>
        <w:textAlignment w:val="auto"/>
        <w:rPr>
          <w:rFonts w:hint="eastAsia" w:ascii="黑体" w:hAnsi="Calibri" w:eastAsia="黑体"/>
          <w:szCs w:val="21"/>
        </w:rPr>
      </w:pPr>
      <w:r>
        <w:rPr>
          <w:rFonts w:hint="eastAsia" w:ascii="黑体" w:hAnsi="宋体" w:eastAsia="黑体"/>
          <w:szCs w:val="21"/>
        </w:rPr>
        <w:t>（四）社会医学的研究方法</w:t>
      </w:r>
    </w:p>
    <w:p w14:paraId="774D3455">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hint="eastAsia" w:ascii="Calibri" w:hAnsi="宋体"/>
          <w:szCs w:val="21"/>
        </w:rPr>
      </w:pPr>
      <w:r>
        <w:rPr>
          <w:rFonts w:ascii="Calibri" w:hAnsi="宋体"/>
          <w:szCs w:val="21"/>
        </w:rPr>
        <w:t>掌握：</w:t>
      </w:r>
      <w:r>
        <w:rPr>
          <w:rFonts w:hint="eastAsia" w:ascii="Calibri" w:hAnsi="宋体"/>
          <w:szCs w:val="21"/>
        </w:rPr>
        <w:t>社会医学的研究步骤、选题原则、非概率抽样，定量研究的概念、特点及其应用，定量研究的常用调查方式，调查问卷设计，</w:t>
      </w:r>
      <w:r>
        <w:rPr>
          <w:rFonts w:ascii="Calibri" w:hAnsi="宋体"/>
          <w:szCs w:val="21"/>
        </w:rPr>
        <w:t>效度和信度的概念和关系</w:t>
      </w:r>
      <w:r>
        <w:rPr>
          <w:rFonts w:hint="eastAsia" w:ascii="Calibri" w:hAnsi="宋体"/>
          <w:szCs w:val="21"/>
        </w:rPr>
        <w:t>，</w:t>
      </w:r>
      <w:r>
        <w:rPr>
          <w:rFonts w:ascii="Calibri" w:hAnsi="宋体"/>
          <w:szCs w:val="21"/>
        </w:rPr>
        <w:t>定性研究的概念、特点和实际应用，</w:t>
      </w:r>
      <w:r>
        <w:rPr>
          <w:rFonts w:hint="eastAsia" w:ascii="Calibri" w:hAnsi="宋体"/>
          <w:szCs w:val="21"/>
        </w:rPr>
        <w:t>定量研究常用调查方式。</w:t>
      </w:r>
    </w:p>
    <w:p w14:paraId="3B0B2F0A">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熟悉：</w:t>
      </w:r>
      <w:r>
        <w:rPr>
          <w:rFonts w:hint="eastAsia" w:ascii="Calibri" w:hAnsi="宋体"/>
          <w:szCs w:val="21"/>
        </w:rPr>
        <w:t>社会医学研究的特点</w:t>
      </w:r>
      <w:r>
        <w:rPr>
          <w:rFonts w:ascii="Calibri" w:hAnsi="宋体"/>
          <w:szCs w:val="21"/>
        </w:rPr>
        <w:t>。</w:t>
      </w:r>
    </w:p>
    <w:p w14:paraId="349ACDC2">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了解：社会医学</w:t>
      </w:r>
      <w:r>
        <w:rPr>
          <w:rFonts w:hint="eastAsia" w:ascii="Calibri" w:hAnsi="宋体"/>
          <w:szCs w:val="21"/>
        </w:rPr>
        <w:t>研究的思维方式</w:t>
      </w:r>
      <w:r>
        <w:rPr>
          <w:rFonts w:ascii="Calibri" w:hAnsi="宋体"/>
          <w:szCs w:val="21"/>
        </w:rPr>
        <w:t>。</w:t>
      </w:r>
    </w:p>
    <w:p w14:paraId="03B7AFAF">
      <w:pPr>
        <w:keepNext w:val="0"/>
        <w:keepLines w:val="0"/>
        <w:pageBreakBefore w:val="0"/>
        <w:kinsoku/>
        <w:wordWrap/>
        <w:overflowPunct/>
        <w:topLinePunct w:val="0"/>
        <w:autoSpaceDN/>
        <w:bidi w:val="0"/>
        <w:adjustRightInd/>
        <w:snapToGrid/>
        <w:spacing w:beforeAutospacing="0" w:afterAutospacing="0" w:line="500" w:lineRule="exact"/>
        <w:textAlignment w:val="auto"/>
        <w:rPr>
          <w:rFonts w:hint="eastAsia" w:ascii="黑体" w:hAnsi="Calibri" w:eastAsia="黑体"/>
          <w:szCs w:val="21"/>
        </w:rPr>
      </w:pPr>
      <w:r>
        <w:rPr>
          <w:rFonts w:hint="eastAsia" w:ascii="黑体" w:hAnsi="宋体" w:eastAsia="黑体"/>
          <w:szCs w:val="21"/>
        </w:rPr>
        <w:t>（五）社会卫生状况</w:t>
      </w:r>
    </w:p>
    <w:p w14:paraId="65EEB5CF">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掌握：社会卫生状况的概念，人群健康状况的评价指标，</w:t>
      </w:r>
      <w:r>
        <w:rPr>
          <w:rFonts w:hint="eastAsia" w:ascii="Calibri" w:hAnsi="宋体"/>
          <w:szCs w:val="21"/>
        </w:rPr>
        <w:t>影响人群健康状况的因素</w:t>
      </w:r>
      <w:r>
        <w:rPr>
          <w:rFonts w:ascii="Calibri" w:hAnsi="宋体"/>
          <w:szCs w:val="21"/>
        </w:rPr>
        <w:t>。</w:t>
      </w:r>
    </w:p>
    <w:p w14:paraId="31BC396C">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熟悉：社会卫生状况</w:t>
      </w:r>
      <w:r>
        <w:rPr>
          <w:rFonts w:hint="eastAsia" w:ascii="Calibri" w:hAnsi="宋体"/>
          <w:szCs w:val="21"/>
        </w:rPr>
        <w:t>内容，研究社会卫生状况的意义及资料来源</w:t>
      </w:r>
      <w:r>
        <w:rPr>
          <w:rFonts w:ascii="Calibri" w:hAnsi="宋体"/>
          <w:szCs w:val="21"/>
        </w:rPr>
        <w:t>。</w:t>
      </w:r>
    </w:p>
    <w:p w14:paraId="3221B0D8">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了解：</w:t>
      </w:r>
      <w:r>
        <w:rPr>
          <w:rFonts w:hint="eastAsia" w:ascii="Calibri" w:hAnsi="宋体"/>
          <w:szCs w:val="21"/>
        </w:rPr>
        <w:t>世界卫生状况，中国卫生状况</w:t>
      </w:r>
      <w:r>
        <w:rPr>
          <w:rFonts w:ascii="Calibri" w:hAnsi="宋体"/>
          <w:szCs w:val="21"/>
        </w:rPr>
        <w:t>。</w:t>
      </w:r>
    </w:p>
    <w:p w14:paraId="16587106">
      <w:pPr>
        <w:keepNext w:val="0"/>
        <w:keepLines w:val="0"/>
        <w:pageBreakBefore w:val="0"/>
        <w:kinsoku/>
        <w:wordWrap/>
        <w:overflowPunct/>
        <w:topLinePunct w:val="0"/>
        <w:autoSpaceDN/>
        <w:bidi w:val="0"/>
        <w:adjustRightInd/>
        <w:snapToGrid/>
        <w:spacing w:beforeAutospacing="0" w:afterAutospacing="0" w:line="500" w:lineRule="exact"/>
        <w:textAlignment w:val="auto"/>
        <w:rPr>
          <w:rFonts w:hint="eastAsia" w:ascii="黑体" w:hAnsi="宋体" w:eastAsia="黑体"/>
          <w:szCs w:val="21"/>
        </w:rPr>
      </w:pPr>
    </w:p>
    <w:p w14:paraId="1C205BAB">
      <w:pPr>
        <w:keepNext w:val="0"/>
        <w:keepLines w:val="0"/>
        <w:pageBreakBefore w:val="0"/>
        <w:kinsoku/>
        <w:wordWrap/>
        <w:overflowPunct/>
        <w:topLinePunct w:val="0"/>
        <w:autoSpaceDN/>
        <w:bidi w:val="0"/>
        <w:adjustRightInd/>
        <w:snapToGrid/>
        <w:spacing w:beforeAutospacing="0" w:afterAutospacing="0" w:line="500" w:lineRule="exact"/>
        <w:textAlignment w:val="auto"/>
        <w:rPr>
          <w:rFonts w:hint="eastAsia" w:ascii="黑体" w:hAnsi="宋体" w:eastAsia="黑体"/>
          <w:szCs w:val="21"/>
        </w:rPr>
      </w:pPr>
      <w:r>
        <w:rPr>
          <w:rFonts w:hint="eastAsia" w:ascii="黑体" w:hAnsi="宋体" w:eastAsia="黑体"/>
          <w:szCs w:val="21"/>
        </w:rPr>
        <w:t>（六）社会因素与健康</w:t>
      </w:r>
    </w:p>
    <w:p w14:paraId="276B0BA5">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hint="eastAsia" w:ascii="Calibri" w:hAnsi="宋体"/>
          <w:szCs w:val="21"/>
        </w:rPr>
      </w:pPr>
      <w:r>
        <w:rPr>
          <w:rFonts w:ascii="Calibri" w:hAnsi="宋体"/>
          <w:szCs w:val="21"/>
        </w:rPr>
        <w:t>掌握：</w:t>
      </w:r>
      <w:bookmarkStart w:id="0" w:name="OLE_LINK1"/>
      <w:bookmarkStart w:id="1" w:name="OLE_LINK2"/>
      <w:r>
        <w:rPr>
          <w:rFonts w:ascii="Calibri" w:hAnsi="宋体"/>
          <w:szCs w:val="21"/>
        </w:rPr>
        <w:t>社会因素</w:t>
      </w:r>
      <w:bookmarkEnd w:id="0"/>
      <w:bookmarkEnd w:id="1"/>
      <w:r>
        <w:rPr>
          <w:rFonts w:ascii="Calibri" w:hAnsi="宋体"/>
          <w:szCs w:val="21"/>
        </w:rPr>
        <w:t>的</w:t>
      </w:r>
      <w:r>
        <w:rPr>
          <w:rFonts w:hint="eastAsia" w:ascii="Calibri" w:hAnsi="宋体"/>
          <w:szCs w:val="21"/>
        </w:rPr>
        <w:t>概念、分类</w:t>
      </w:r>
      <w:r>
        <w:rPr>
          <w:rFonts w:ascii="Calibri" w:hAnsi="宋体"/>
          <w:szCs w:val="21"/>
        </w:rPr>
        <w:t>及其影响健康的</w:t>
      </w:r>
      <w:r>
        <w:rPr>
          <w:rFonts w:hint="eastAsia" w:ascii="Calibri" w:hAnsi="宋体"/>
          <w:szCs w:val="21"/>
        </w:rPr>
        <w:t>基本规律、</w:t>
      </w:r>
      <w:r>
        <w:rPr>
          <w:rFonts w:ascii="Calibri" w:hAnsi="宋体"/>
          <w:szCs w:val="21"/>
        </w:rPr>
        <w:t>特点，</w:t>
      </w:r>
      <w:r>
        <w:rPr>
          <w:rFonts w:hint="eastAsia" w:ascii="Calibri" w:hAnsi="宋体"/>
          <w:szCs w:val="21"/>
        </w:rPr>
        <w:t>社会</w:t>
      </w:r>
      <w:r>
        <w:rPr>
          <w:rFonts w:ascii="Calibri" w:hAnsi="宋体"/>
          <w:szCs w:val="21"/>
        </w:rPr>
        <w:t>经济</w:t>
      </w:r>
      <w:r>
        <w:rPr>
          <w:rFonts w:hint="eastAsia" w:ascii="Calibri" w:hAnsi="宋体"/>
          <w:szCs w:val="21"/>
        </w:rPr>
        <w:t>因素</w:t>
      </w:r>
      <w:r>
        <w:rPr>
          <w:rFonts w:ascii="Calibri" w:hAnsi="宋体"/>
          <w:szCs w:val="21"/>
        </w:rPr>
        <w:t>与健康，</w:t>
      </w:r>
      <w:r>
        <w:rPr>
          <w:rFonts w:hint="eastAsia" w:ascii="Calibri" w:hAnsi="宋体"/>
          <w:szCs w:val="21"/>
        </w:rPr>
        <w:t>社会发展因素与健康。</w:t>
      </w:r>
    </w:p>
    <w:p w14:paraId="26CE7DB3">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熟悉：</w:t>
      </w:r>
      <w:r>
        <w:rPr>
          <w:rFonts w:hint="eastAsia" w:ascii="Calibri" w:hAnsi="宋体"/>
          <w:szCs w:val="21"/>
        </w:rPr>
        <w:t>衡量经济发展对健康影响的指标，衡量社会发展的指标，社会文化因素与健康</w:t>
      </w:r>
      <w:r>
        <w:rPr>
          <w:rFonts w:ascii="Calibri" w:hAnsi="宋体"/>
          <w:szCs w:val="21"/>
        </w:rPr>
        <w:t>。</w:t>
      </w:r>
    </w:p>
    <w:p w14:paraId="6ED2E55A">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了解：社会因素</w:t>
      </w:r>
      <w:r>
        <w:rPr>
          <w:rFonts w:hint="eastAsia" w:ascii="Calibri" w:hAnsi="宋体"/>
          <w:szCs w:val="21"/>
        </w:rPr>
        <w:t>影响健康的机制</w:t>
      </w:r>
      <w:r>
        <w:rPr>
          <w:rFonts w:ascii="Calibri" w:hAnsi="宋体"/>
          <w:szCs w:val="21"/>
        </w:rPr>
        <w:t>。</w:t>
      </w:r>
    </w:p>
    <w:p w14:paraId="21BEEBA6">
      <w:pPr>
        <w:keepNext w:val="0"/>
        <w:keepLines w:val="0"/>
        <w:pageBreakBefore w:val="0"/>
        <w:kinsoku/>
        <w:wordWrap/>
        <w:overflowPunct/>
        <w:topLinePunct w:val="0"/>
        <w:autoSpaceDN/>
        <w:bidi w:val="0"/>
        <w:adjustRightInd/>
        <w:snapToGrid/>
        <w:spacing w:beforeAutospacing="0" w:afterAutospacing="0" w:line="500" w:lineRule="exact"/>
        <w:textAlignment w:val="auto"/>
        <w:rPr>
          <w:rFonts w:hint="eastAsia" w:ascii="黑体" w:hAnsi="Calibri" w:eastAsia="黑体"/>
          <w:szCs w:val="21"/>
        </w:rPr>
      </w:pPr>
      <w:r>
        <w:rPr>
          <w:rFonts w:hint="eastAsia" w:ascii="黑体" w:hAnsi="宋体" w:eastAsia="黑体"/>
          <w:szCs w:val="21"/>
        </w:rPr>
        <w:t>（七）心理、行为生活方式与健康</w:t>
      </w:r>
    </w:p>
    <w:p w14:paraId="3FD14704">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掌握：</w:t>
      </w:r>
      <w:r>
        <w:rPr>
          <w:rFonts w:hint="eastAsia" w:ascii="Calibri" w:hAnsi="宋体"/>
          <w:szCs w:val="21"/>
        </w:rPr>
        <w:t>心理健康的概念及基本标准，</w:t>
      </w:r>
      <w:r>
        <w:rPr>
          <w:rFonts w:ascii="Calibri" w:hAnsi="宋体"/>
          <w:szCs w:val="21"/>
        </w:rPr>
        <w:t>行为</w:t>
      </w:r>
      <w:r>
        <w:rPr>
          <w:rFonts w:hint="eastAsia" w:ascii="Calibri" w:hAnsi="宋体"/>
          <w:szCs w:val="21"/>
        </w:rPr>
        <w:t>及</w:t>
      </w:r>
      <w:r>
        <w:rPr>
          <w:rFonts w:ascii="Calibri" w:hAnsi="宋体"/>
          <w:szCs w:val="21"/>
        </w:rPr>
        <w:t>健康相关行为的概念。</w:t>
      </w:r>
    </w:p>
    <w:p w14:paraId="1E7FCFFE">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熟悉：心理压力与健康</w:t>
      </w:r>
      <w:r>
        <w:rPr>
          <w:rFonts w:hint="eastAsia" w:ascii="Calibri" w:hAnsi="宋体"/>
          <w:szCs w:val="21"/>
        </w:rPr>
        <w:t>、积极心理因素与健康、行为与健康、生活方式与健康、行为</w:t>
      </w:r>
      <w:bookmarkStart w:id="2" w:name="OLE_LINK3"/>
      <w:r>
        <w:rPr>
          <w:rFonts w:hint="eastAsia" w:ascii="Calibri" w:hAnsi="宋体"/>
          <w:szCs w:val="21"/>
        </w:rPr>
        <w:t>生活方式与健康</w:t>
      </w:r>
      <w:bookmarkEnd w:id="2"/>
      <w:r>
        <w:rPr>
          <w:rFonts w:ascii="Calibri" w:hAnsi="宋体"/>
          <w:szCs w:val="21"/>
        </w:rPr>
        <w:t>。</w:t>
      </w:r>
    </w:p>
    <w:p w14:paraId="0C82FDA5">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了解：</w:t>
      </w:r>
      <w:r>
        <w:rPr>
          <w:rFonts w:hint="eastAsia" w:ascii="Calibri" w:hAnsi="宋体"/>
          <w:szCs w:val="21"/>
        </w:rPr>
        <w:t>个性心理特征与健康、情绪与健康，心理、</w:t>
      </w:r>
      <w:r>
        <w:rPr>
          <w:rFonts w:ascii="Calibri" w:hAnsi="宋体"/>
          <w:szCs w:val="21"/>
        </w:rPr>
        <w:t>行为</w:t>
      </w:r>
      <w:r>
        <w:rPr>
          <w:rFonts w:hint="eastAsia" w:ascii="Calibri" w:hAnsi="宋体"/>
          <w:szCs w:val="21"/>
        </w:rPr>
        <w:t>生活方式</w:t>
      </w:r>
      <w:r>
        <w:rPr>
          <w:rFonts w:ascii="Calibri" w:hAnsi="宋体"/>
          <w:szCs w:val="21"/>
        </w:rPr>
        <w:t>干预。</w:t>
      </w:r>
    </w:p>
    <w:p w14:paraId="6414DF60">
      <w:pPr>
        <w:keepNext w:val="0"/>
        <w:keepLines w:val="0"/>
        <w:pageBreakBefore w:val="0"/>
        <w:kinsoku/>
        <w:wordWrap/>
        <w:overflowPunct/>
        <w:topLinePunct w:val="0"/>
        <w:autoSpaceDN/>
        <w:bidi w:val="0"/>
        <w:adjustRightInd/>
        <w:snapToGrid/>
        <w:spacing w:beforeAutospacing="0" w:afterAutospacing="0" w:line="500" w:lineRule="exact"/>
        <w:textAlignment w:val="auto"/>
        <w:rPr>
          <w:rFonts w:hint="eastAsia" w:ascii="黑体" w:hAnsi="Calibri" w:eastAsia="黑体"/>
          <w:szCs w:val="21"/>
        </w:rPr>
      </w:pPr>
      <w:r>
        <w:rPr>
          <w:rFonts w:hint="eastAsia" w:ascii="黑体" w:hAnsi="宋体" w:eastAsia="黑体"/>
          <w:szCs w:val="21"/>
        </w:rPr>
        <w:t>（八）生命质量评价</w:t>
      </w:r>
    </w:p>
    <w:p w14:paraId="066AABA2">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掌握：生命质量，健康相关生命质量的概念和评价内容，质量调整生存年的概念。</w:t>
      </w:r>
    </w:p>
    <w:p w14:paraId="4FD5F1C3">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熟悉：生命质量评价的</w:t>
      </w:r>
      <w:r>
        <w:rPr>
          <w:rFonts w:hint="eastAsia" w:ascii="Calibri" w:hAnsi="宋体"/>
          <w:szCs w:val="21"/>
        </w:rPr>
        <w:t>特征、</w:t>
      </w:r>
      <w:r>
        <w:rPr>
          <w:rFonts w:ascii="Calibri" w:hAnsi="宋体"/>
          <w:szCs w:val="21"/>
        </w:rPr>
        <w:t>应用。</w:t>
      </w:r>
    </w:p>
    <w:p w14:paraId="29236EB1">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了解：生命质量</w:t>
      </w:r>
      <w:r>
        <w:rPr>
          <w:rFonts w:hint="eastAsia" w:ascii="Calibri" w:hAnsi="宋体"/>
          <w:szCs w:val="21"/>
        </w:rPr>
        <w:t>评价量表的分类</w:t>
      </w:r>
      <w:r>
        <w:rPr>
          <w:rFonts w:ascii="Calibri" w:hAnsi="宋体"/>
          <w:szCs w:val="21"/>
        </w:rPr>
        <w:t>，常用生命质量</w:t>
      </w:r>
      <w:bookmarkStart w:id="3" w:name="OLE_LINK4"/>
      <w:r>
        <w:rPr>
          <w:rFonts w:ascii="Calibri" w:hAnsi="宋体"/>
          <w:szCs w:val="21"/>
        </w:rPr>
        <w:t>评价量表</w:t>
      </w:r>
      <w:bookmarkEnd w:id="3"/>
      <w:r>
        <w:rPr>
          <w:rFonts w:ascii="Calibri" w:hAnsi="宋体"/>
          <w:szCs w:val="21"/>
        </w:rPr>
        <w:t>。</w:t>
      </w:r>
    </w:p>
    <w:p w14:paraId="10E8868B">
      <w:pPr>
        <w:keepNext w:val="0"/>
        <w:keepLines w:val="0"/>
        <w:pageBreakBefore w:val="0"/>
        <w:kinsoku/>
        <w:wordWrap/>
        <w:overflowPunct/>
        <w:topLinePunct w:val="0"/>
        <w:autoSpaceDN/>
        <w:bidi w:val="0"/>
        <w:adjustRightInd/>
        <w:snapToGrid/>
        <w:spacing w:beforeAutospacing="0" w:afterAutospacing="0" w:line="500" w:lineRule="exact"/>
        <w:textAlignment w:val="auto"/>
        <w:rPr>
          <w:rFonts w:hint="eastAsia" w:ascii="黑体" w:hAnsi="Calibri" w:eastAsia="黑体"/>
          <w:szCs w:val="21"/>
        </w:rPr>
      </w:pPr>
      <w:r>
        <w:rPr>
          <w:rFonts w:hint="eastAsia" w:ascii="黑体" w:hAnsi="宋体" w:eastAsia="黑体"/>
          <w:szCs w:val="21"/>
        </w:rPr>
        <w:t>（九）健康管理</w:t>
      </w:r>
      <w:r>
        <w:rPr>
          <w:rFonts w:hint="eastAsia" w:ascii="黑体" w:hAnsi="Calibri" w:eastAsia="黑体"/>
          <w:szCs w:val="21"/>
        </w:rPr>
        <w:t>与健康危险因素评价</w:t>
      </w:r>
    </w:p>
    <w:p w14:paraId="5A16A601">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掌握：健康管理的</w:t>
      </w:r>
      <w:r>
        <w:rPr>
          <w:rFonts w:hint="eastAsia" w:ascii="Calibri" w:hAnsi="宋体"/>
          <w:szCs w:val="21"/>
        </w:rPr>
        <w:t>含义及特点</w:t>
      </w:r>
      <w:r>
        <w:rPr>
          <w:rFonts w:ascii="Calibri" w:hAnsi="宋体"/>
          <w:szCs w:val="21"/>
        </w:rPr>
        <w:t>，健康危险因素</w:t>
      </w:r>
      <w:r>
        <w:rPr>
          <w:rFonts w:hint="eastAsia" w:ascii="Calibri" w:hAnsi="宋体"/>
          <w:szCs w:val="21"/>
        </w:rPr>
        <w:t>的概念</w:t>
      </w:r>
      <w:r>
        <w:rPr>
          <w:rFonts w:ascii="Calibri" w:hAnsi="宋体"/>
          <w:szCs w:val="21"/>
        </w:rPr>
        <w:t>、特点及分类</w:t>
      </w:r>
      <w:r>
        <w:rPr>
          <w:rFonts w:hint="eastAsia" w:ascii="Calibri" w:hAnsi="宋体"/>
          <w:szCs w:val="21"/>
        </w:rPr>
        <w:t>，</w:t>
      </w:r>
      <w:r>
        <w:rPr>
          <w:rFonts w:ascii="Calibri" w:hAnsi="宋体"/>
          <w:szCs w:val="21"/>
        </w:rPr>
        <w:t>健康危险因素评价的概念</w:t>
      </w:r>
      <w:r>
        <w:rPr>
          <w:rFonts w:hint="eastAsia" w:ascii="Calibri" w:hAnsi="宋体"/>
          <w:szCs w:val="21"/>
        </w:rPr>
        <w:t>及分类，个体及人群</w:t>
      </w:r>
      <w:r>
        <w:rPr>
          <w:rFonts w:ascii="Calibri" w:hAnsi="宋体"/>
          <w:szCs w:val="21"/>
        </w:rPr>
        <w:t>健康危险因素评价</w:t>
      </w:r>
      <w:r>
        <w:rPr>
          <w:rFonts w:hint="eastAsia" w:ascii="Calibri" w:hAnsi="宋体"/>
          <w:szCs w:val="21"/>
        </w:rPr>
        <w:t>方法，</w:t>
      </w:r>
      <w:r>
        <w:rPr>
          <w:rFonts w:ascii="Calibri" w:hAnsi="宋体"/>
          <w:szCs w:val="21"/>
        </w:rPr>
        <w:t>健康危险因素评价</w:t>
      </w:r>
      <w:r>
        <w:rPr>
          <w:rFonts w:hint="eastAsia" w:ascii="Calibri" w:hAnsi="宋体"/>
          <w:szCs w:val="21"/>
        </w:rPr>
        <w:t>方法的应用。</w:t>
      </w:r>
    </w:p>
    <w:p w14:paraId="7331910D">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hint="eastAsia" w:ascii="Calibri" w:hAnsi="宋体"/>
          <w:szCs w:val="21"/>
        </w:rPr>
      </w:pPr>
      <w:r>
        <w:rPr>
          <w:rFonts w:ascii="Calibri" w:hAnsi="宋体"/>
          <w:szCs w:val="21"/>
        </w:rPr>
        <w:t>熟悉：</w:t>
      </w:r>
      <w:r>
        <w:rPr>
          <w:rFonts w:hint="eastAsia" w:ascii="Calibri" w:hAnsi="宋体"/>
          <w:szCs w:val="21"/>
        </w:rPr>
        <w:t>健康管理产生的背景、组织形式、工作模式及基本策略。</w:t>
      </w:r>
    </w:p>
    <w:p w14:paraId="3318CDAD">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了解：健康</w:t>
      </w:r>
      <w:r>
        <w:rPr>
          <w:rFonts w:hint="eastAsia" w:ascii="Calibri" w:hAnsi="宋体"/>
          <w:szCs w:val="21"/>
        </w:rPr>
        <w:t>管理的发展，健康危险因素评价的产生与发展</w:t>
      </w:r>
      <w:r>
        <w:rPr>
          <w:rFonts w:ascii="Calibri" w:hAnsi="宋体"/>
          <w:szCs w:val="21"/>
        </w:rPr>
        <w:t>。</w:t>
      </w:r>
    </w:p>
    <w:p w14:paraId="1F4DAB4D">
      <w:pPr>
        <w:keepNext w:val="0"/>
        <w:keepLines w:val="0"/>
        <w:pageBreakBefore w:val="0"/>
        <w:kinsoku/>
        <w:wordWrap/>
        <w:overflowPunct/>
        <w:topLinePunct w:val="0"/>
        <w:autoSpaceDN/>
        <w:bidi w:val="0"/>
        <w:adjustRightInd/>
        <w:snapToGrid/>
        <w:spacing w:beforeAutospacing="0" w:afterAutospacing="0" w:line="500" w:lineRule="exact"/>
        <w:textAlignment w:val="auto"/>
        <w:rPr>
          <w:rFonts w:hint="eastAsia" w:ascii="黑体" w:hAnsi="Calibri" w:eastAsia="黑体"/>
          <w:szCs w:val="21"/>
        </w:rPr>
      </w:pPr>
      <w:r>
        <w:rPr>
          <w:rFonts w:hint="eastAsia" w:ascii="黑体" w:hAnsi="宋体" w:eastAsia="黑体"/>
          <w:szCs w:val="21"/>
        </w:rPr>
        <w:t>（十）卫生服务研究</w:t>
      </w:r>
    </w:p>
    <w:p w14:paraId="4F3EBBEF">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掌握：卫生服务研究的概念</w:t>
      </w:r>
      <w:r>
        <w:rPr>
          <w:rFonts w:hint="eastAsia" w:ascii="Calibri" w:hAnsi="宋体"/>
          <w:szCs w:val="21"/>
        </w:rPr>
        <w:t>与目的</w:t>
      </w:r>
      <w:r>
        <w:rPr>
          <w:rFonts w:ascii="Calibri" w:hAnsi="宋体"/>
          <w:szCs w:val="21"/>
        </w:rPr>
        <w:t>，卫生服务研究的内容，卫生服务需要、需求和利用的概念及相互之间的关系，卫生人力</w:t>
      </w:r>
      <w:r>
        <w:rPr>
          <w:rFonts w:hint="eastAsia" w:ascii="Calibri" w:hAnsi="宋体"/>
          <w:szCs w:val="21"/>
        </w:rPr>
        <w:t>、</w:t>
      </w:r>
      <w:r>
        <w:rPr>
          <w:rFonts w:ascii="Calibri" w:hAnsi="宋体"/>
          <w:szCs w:val="21"/>
        </w:rPr>
        <w:t>卫生费用</w:t>
      </w:r>
      <w:r>
        <w:rPr>
          <w:rFonts w:hint="eastAsia" w:ascii="Calibri" w:hAnsi="宋体"/>
          <w:szCs w:val="21"/>
        </w:rPr>
        <w:t>、卫生技术</w:t>
      </w:r>
      <w:r>
        <w:rPr>
          <w:rFonts w:ascii="Calibri" w:hAnsi="宋体"/>
          <w:szCs w:val="21"/>
        </w:rPr>
        <w:t>的概念，影响卫生服务需要与利用的因素。</w:t>
      </w:r>
    </w:p>
    <w:p w14:paraId="20AB207A">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bookmarkStart w:id="4" w:name="OLE_LINK10"/>
      <w:r>
        <w:rPr>
          <w:rFonts w:ascii="Calibri" w:hAnsi="宋体"/>
          <w:szCs w:val="21"/>
        </w:rPr>
        <w:t>熟悉：卫生服务研究的</w:t>
      </w:r>
      <w:r>
        <w:rPr>
          <w:rFonts w:hint="eastAsia" w:ascii="Calibri" w:hAnsi="宋体"/>
          <w:szCs w:val="21"/>
        </w:rPr>
        <w:t>分类、</w:t>
      </w:r>
      <w:r>
        <w:rPr>
          <w:rFonts w:ascii="Calibri" w:hAnsi="宋体"/>
          <w:szCs w:val="21"/>
        </w:rPr>
        <w:t>方法，影响卫生服务需要与利用的因素，卫生服务需要、利用常用指标。</w:t>
      </w:r>
    </w:p>
    <w:p w14:paraId="0AD9524C">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了解：我国卫生服务研究的进展，卫生服务需要与利用指标的应用，卫生服务</w:t>
      </w:r>
      <w:r>
        <w:rPr>
          <w:rFonts w:hint="eastAsia" w:ascii="Calibri" w:hAnsi="宋体"/>
          <w:szCs w:val="21"/>
        </w:rPr>
        <w:t>系统</w:t>
      </w:r>
      <w:r>
        <w:rPr>
          <w:rFonts w:ascii="Calibri" w:hAnsi="宋体"/>
          <w:szCs w:val="21"/>
        </w:rPr>
        <w:t>评价。</w:t>
      </w:r>
    </w:p>
    <w:bookmarkEnd w:id="4"/>
    <w:p w14:paraId="2F9C9F9A">
      <w:pPr>
        <w:keepNext w:val="0"/>
        <w:keepLines w:val="0"/>
        <w:pageBreakBefore w:val="0"/>
        <w:kinsoku/>
        <w:wordWrap/>
        <w:overflowPunct/>
        <w:topLinePunct w:val="0"/>
        <w:autoSpaceDN/>
        <w:bidi w:val="0"/>
        <w:adjustRightInd/>
        <w:snapToGrid/>
        <w:spacing w:beforeAutospacing="0" w:afterAutospacing="0" w:line="500" w:lineRule="exact"/>
        <w:textAlignment w:val="auto"/>
        <w:rPr>
          <w:rFonts w:hint="eastAsia" w:ascii="黑体" w:hAnsi="Calibri" w:eastAsia="黑体"/>
          <w:szCs w:val="21"/>
        </w:rPr>
      </w:pPr>
      <w:bookmarkStart w:id="5" w:name="OLE_LINK8"/>
      <w:bookmarkStart w:id="6" w:name="OLE_LINK7"/>
      <w:r>
        <w:rPr>
          <w:rFonts w:hint="eastAsia" w:ascii="黑体" w:hAnsi="宋体" w:eastAsia="黑体"/>
          <w:szCs w:val="21"/>
        </w:rPr>
        <w:t>（十一）社会卫生政策分析</w:t>
      </w:r>
    </w:p>
    <w:bookmarkEnd w:id="5"/>
    <w:bookmarkEnd w:id="6"/>
    <w:p w14:paraId="02018335">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bookmarkStart w:id="7" w:name="OLE_LINK9"/>
      <w:r>
        <w:rPr>
          <w:rFonts w:ascii="Calibri" w:hAnsi="宋体"/>
          <w:szCs w:val="21"/>
        </w:rPr>
        <w:t>掌握：卫生政策的概念</w:t>
      </w:r>
      <w:r>
        <w:rPr>
          <w:rFonts w:hint="eastAsia" w:ascii="Calibri" w:hAnsi="宋体"/>
          <w:szCs w:val="21"/>
        </w:rPr>
        <w:t>、特征</w:t>
      </w:r>
      <w:r>
        <w:rPr>
          <w:rFonts w:ascii="Calibri" w:hAnsi="宋体"/>
          <w:szCs w:val="21"/>
        </w:rPr>
        <w:t>和功能，</w:t>
      </w:r>
      <w:r>
        <w:rPr>
          <w:rFonts w:hint="eastAsia" w:ascii="Calibri" w:hAnsi="宋体"/>
          <w:szCs w:val="21"/>
        </w:rPr>
        <w:t>卫生政策分析的框架和要素</w:t>
      </w:r>
      <w:r>
        <w:rPr>
          <w:rFonts w:ascii="Calibri" w:hAnsi="宋体"/>
          <w:szCs w:val="21"/>
        </w:rPr>
        <w:t>，</w:t>
      </w:r>
      <w:r>
        <w:rPr>
          <w:rFonts w:hint="eastAsia" w:ascii="Calibri" w:hAnsi="宋体"/>
          <w:szCs w:val="21"/>
        </w:rPr>
        <w:t>卫生政策分析方法，</w:t>
      </w:r>
      <w:r>
        <w:rPr>
          <w:rFonts w:hint="eastAsia" w:ascii="Calibri" w:hAnsi="Calibri"/>
          <w:szCs w:val="21"/>
        </w:rPr>
        <w:t>卫生政策分析过程</w:t>
      </w:r>
      <w:r>
        <w:rPr>
          <w:rFonts w:ascii="Calibri" w:hAnsi="宋体"/>
          <w:szCs w:val="21"/>
        </w:rPr>
        <w:t>。</w:t>
      </w:r>
    </w:p>
    <w:bookmarkEnd w:id="7"/>
    <w:p w14:paraId="71E1EB96">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hint="eastAsia" w:ascii="Calibri" w:hAnsi="宋体"/>
          <w:szCs w:val="21"/>
        </w:rPr>
      </w:pPr>
      <w:r>
        <w:rPr>
          <w:rFonts w:ascii="Calibri" w:hAnsi="宋体"/>
          <w:szCs w:val="21"/>
        </w:rPr>
        <w:t>了解：</w:t>
      </w:r>
      <w:r>
        <w:rPr>
          <w:rFonts w:hint="eastAsia" w:ascii="Calibri" w:hAnsi="宋体"/>
          <w:szCs w:val="21"/>
        </w:rPr>
        <w:t>政策与公共政策的概念</w:t>
      </w:r>
      <w:r>
        <w:rPr>
          <w:rFonts w:ascii="Calibri" w:hAnsi="宋体"/>
          <w:szCs w:val="21"/>
        </w:rPr>
        <w:t>。</w:t>
      </w:r>
    </w:p>
    <w:p w14:paraId="3ED3D149">
      <w:pPr>
        <w:keepNext w:val="0"/>
        <w:keepLines w:val="0"/>
        <w:pageBreakBefore w:val="0"/>
        <w:kinsoku/>
        <w:wordWrap/>
        <w:overflowPunct/>
        <w:topLinePunct w:val="0"/>
        <w:autoSpaceDN/>
        <w:bidi w:val="0"/>
        <w:adjustRightInd/>
        <w:snapToGrid/>
        <w:spacing w:beforeAutospacing="0" w:afterAutospacing="0" w:line="500" w:lineRule="exact"/>
        <w:textAlignment w:val="auto"/>
        <w:rPr>
          <w:rFonts w:hint="eastAsia" w:ascii="黑体" w:hAnsi="Calibri" w:eastAsia="黑体"/>
          <w:szCs w:val="21"/>
        </w:rPr>
      </w:pPr>
      <w:r>
        <w:rPr>
          <w:rFonts w:hint="eastAsia" w:ascii="黑体" w:hAnsi="宋体" w:eastAsia="黑体"/>
          <w:szCs w:val="21"/>
        </w:rPr>
        <w:t>（十二）社会卫生策略</w:t>
      </w:r>
    </w:p>
    <w:p w14:paraId="5E9FD461">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hint="eastAsia" w:ascii="Calibri" w:hAnsi="宋体"/>
          <w:szCs w:val="21"/>
        </w:rPr>
      </w:pPr>
      <w:r>
        <w:rPr>
          <w:rFonts w:ascii="Calibri" w:hAnsi="宋体"/>
          <w:szCs w:val="21"/>
        </w:rPr>
        <w:t>掌握：</w:t>
      </w:r>
      <w:r>
        <w:rPr>
          <w:rFonts w:hint="eastAsia" w:ascii="Calibri" w:hAnsi="宋体"/>
          <w:szCs w:val="21"/>
        </w:rPr>
        <w:t>人人享有卫生保健、初级卫生保健、联合国发展目标、全球健康城市策略等全球卫生策略，新时期中国卫生与健康工作方针，中国初级卫生保健策略，健康中国战略，我国健康城市与健康社区策略</w:t>
      </w:r>
      <w:r>
        <w:rPr>
          <w:rFonts w:ascii="Calibri" w:hAnsi="宋体"/>
          <w:szCs w:val="21"/>
        </w:rPr>
        <w:t>。</w:t>
      </w:r>
    </w:p>
    <w:p w14:paraId="40E4922F">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hint="eastAsia" w:ascii="Calibri" w:hAnsi="宋体"/>
          <w:szCs w:val="21"/>
        </w:rPr>
      </w:pPr>
      <w:r>
        <w:rPr>
          <w:rFonts w:ascii="Calibri" w:hAnsi="宋体"/>
          <w:szCs w:val="21"/>
        </w:rPr>
        <w:t>熟悉：</w:t>
      </w:r>
      <w:r>
        <w:rPr>
          <w:rFonts w:hint="eastAsia" w:ascii="Calibri" w:hAnsi="宋体"/>
          <w:szCs w:val="21"/>
        </w:rPr>
        <w:t>我国重大突发公共卫生事件防控策略，疫情防控的中国经验。</w:t>
      </w:r>
    </w:p>
    <w:p w14:paraId="322AEB20">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了解：</w:t>
      </w:r>
      <w:r>
        <w:rPr>
          <w:rFonts w:hint="eastAsia" w:ascii="Calibri" w:hAnsi="宋体"/>
          <w:szCs w:val="21"/>
        </w:rPr>
        <w:t>中国卫生工作方针演变，国家基本医疗卫生制度，</w:t>
      </w:r>
      <w:r>
        <w:rPr>
          <w:rFonts w:hint="eastAsia" w:ascii="Calibri" w:hAnsi="Calibri"/>
          <w:szCs w:val="21"/>
        </w:rPr>
        <w:t>重大突发公共卫生事件防控策略。</w:t>
      </w:r>
    </w:p>
    <w:p w14:paraId="725DB96B">
      <w:pPr>
        <w:keepNext w:val="0"/>
        <w:keepLines w:val="0"/>
        <w:pageBreakBefore w:val="0"/>
        <w:kinsoku/>
        <w:wordWrap/>
        <w:overflowPunct/>
        <w:topLinePunct w:val="0"/>
        <w:autoSpaceDN/>
        <w:bidi w:val="0"/>
        <w:adjustRightInd/>
        <w:snapToGrid/>
        <w:spacing w:beforeAutospacing="0" w:afterAutospacing="0" w:line="500" w:lineRule="exact"/>
        <w:textAlignment w:val="auto"/>
        <w:rPr>
          <w:rFonts w:hint="eastAsia" w:ascii="黑体" w:hAnsi="Calibri" w:eastAsia="黑体"/>
          <w:szCs w:val="21"/>
        </w:rPr>
      </w:pPr>
      <w:r>
        <w:rPr>
          <w:rFonts w:hint="eastAsia" w:ascii="黑体" w:hAnsi="宋体" w:eastAsia="黑体"/>
          <w:szCs w:val="21"/>
        </w:rPr>
        <w:t>（十三）社区卫生服务</w:t>
      </w:r>
    </w:p>
    <w:p w14:paraId="49D4D361">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掌握：社区的概念</w:t>
      </w:r>
      <w:r>
        <w:rPr>
          <w:rFonts w:hint="eastAsia" w:ascii="Calibri" w:hAnsi="宋体"/>
          <w:szCs w:val="21"/>
        </w:rPr>
        <w:t>、</w:t>
      </w:r>
      <w:r>
        <w:rPr>
          <w:rFonts w:ascii="Calibri" w:hAnsi="宋体"/>
          <w:szCs w:val="21"/>
        </w:rPr>
        <w:t>要素</w:t>
      </w:r>
      <w:r>
        <w:rPr>
          <w:rFonts w:hint="eastAsia" w:ascii="Calibri" w:hAnsi="宋体"/>
          <w:szCs w:val="21"/>
        </w:rPr>
        <w:t>、类型及功能</w:t>
      </w:r>
      <w:r>
        <w:rPr>
          <w:rFonts w:ascii="Calibri" w:hAnsi="宋体"/>
          <w:szCs w:val="21"/>
        </w:rPr>
        <w:t>，社区卫生服务的概念，社区卫生服务的特</w:t>
      </w:r>
      <w:r>
        <w:rPr>
          <w:rFonts w:hint="eastAsia" w:ascii="Calibri" w:hAnsi="宋体"/>
          <w:szCs w:val="21"/>
        </w:rPr>
        <w:t>性</w:t>
      </w:r>
      <w:r>
        <w:rPr>
          <w:rFonts w:ascii="Calibri" w:hAnsi="宋体"/>
          <w:szCs w:val="21"/>
        </w:rPr>
        <w:t>，开展社区卫生服务的</w:t>
      </w:r>
      <w:r>
        <w:rPr>
          <w:rFonts w:hint="eastAsia" w:ascii="Calibri" w:hAnsi="宋体"/>
          <w:szCs w:val="21"/>
        </w:rPr>
        <w:t>必要性</w:t>
      </w:r>
      <w:r>
        <w:rPr>
          <w:rFonts w:ascii="Calibri" w:hAnsi="宋体"/>
          <w:szCs w:val="21"/>
        </w:rPr>
        <w:t>。</w:t>
      </w:r>
    </w:p>
    <w:p w14:paraId="47B551AE">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熟悉：社区卫生服务的</w:t>
      </w:r>
      <w:r>
        <w:rPr>
          <w:rFonts w:hint="eastAsia" w:ascii="Calibri" w:hAnsi="宋体"/>
          <w:szCs w:val="21"/>
        </w:rPr>
        <w:t>对象、提供者、</w:t>
      </w:r>
      <w:r>
        <w:rPr>
          <w:rFonts w:ascii="Calibri" w:hAnsi="宋体"/>
          <w:szCs w:val="21"/>
        </w:rPr>
        <w:t>内容和方式</w:t>
      </w:r>
      <w:r>
        <w:rPr>
          <w:rFonts w:hint="eastAsia" w:ascii="Calibri" w:hAnsi="宋体"/>
          <w:szCs w:val="21"/>
        </w:rPr>
        <w:t>，社区卫生服务网络建设，社区卫生服务运行机制与管理模式</w:t>
      </w:r>
      <w:r>
        <w:rPr>
          <w:rFonts w:ascii="Calibri" w:hAnsi="宋体"/>
          <w:szCs w:val="21"/>
        </w:rPr>
        <w:t>。</w:t>
      </w:r>
    </w:p>
    <w:p w14:paraId="08BB7A3B">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了解：国内外社区卫生服务发展概况，社区卫生服务</w:t>
      </w:r>
      <w:r>
        <w:rPr>
          <w:rFonts w:hint="eastAsia" w:ascii="Calibri" w:hAnsi="宋体"/>
          <w:szCs w:val="21"/>
        </w:rPr>
        <w:t>组织机构</w:t>
      </w:r>
      <w:r>
        <w:rPr>
          <w:rFonts w:ascii="Calibri" w:hAnsi="宋体"/>
          <w:szCs w:val="21"/>
        </w:rPr>
        <w:t>。</w:t>
      </w:r>
    </w:p>
    <w:p w14:paraId="7840359C">
      <w:pPr>
        <w:keepNext w:val="0"/>
        <w:keepLines w:val="0"/>
        <w:pageBreakBefore w:val="0"/>
        <w:kinsoku/>
        <w:wordWrap/>
        <w:overflowPunct/>
        <w:topLinePunct w:val="0"/>
        <w:autoSpaceDN/>
        <w:bidi w:val="0"/>
        <w:adjustRightInd/>
        <w:snapToGrid/>
        <w:spacing w:beforeAutospacing="0" w:afterAutospacing="0" w:line="500" w:lineRule="exact"/>
        <w:textAlignment w:val="auto"/>
        <w:rPr>
          <w:rFonts w:hint="eastAsia" w:ascii="黑体" w:hAnsi="Calibri" w:eastAsia="黑体"/>
          <w:szCs w:val="21"/>
        </w:rPr>
      </w:pPr>
      <w:r>
        <w:rPr>
          <w:rFonts w:hint="eastAsia" w:ascii="黑体" w:hAnsi="宋体" w:eastAsia="黑体"/>
          <w:szCs w:val="21"/>
        </w:rPr>
        <w:t>（十四）弱势人群卫生服务</w:t>
      </w:r>
    </w:p>
    <w:p w14:paraId="53E25A59">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hint="eastAsia" w:ascii="Calibri" w:hAnsi="宋体"/>
          <w:szCs w:val="21"/>
        </w:rPr>
      </w:pPr>
      <w:r>
        <w:rPr>
          <w:rFonts w:ascii="Calibri" w:hAnsi="宋体"/>
          <w:szCs w:val="21"/>
        </w:rPr>
        <w:t>掌握：弱势群体的概念</w:t>
      </w:r>
      <w:r>
        <w:rPr>
          <w:rFonts w:hint="eastAsia" w:ascii="Calibri" w:hAnsi="宋体"/>
          <w:szCs w:val="21"/>
        </w:rPr>
        <w:t>及其分类</w:t>
      </w:r>
      <w:r>
        <w:rPr>
          <w:rFonts w:ascii="Calibri" w:hAnsi="宋体"/>
          <w:szCs w:val="21"/>
        </w:rPr>
        <w:t>，人口老龄化概念及</w:t>
      </w:r>
      <w:r>
        <w:rPr>
          <w:rFonts w:hint="eastAsia" w:ascii="Calibri" w:hAnsi="宋体"/>
          <w:szCs w:val="21"/>
        </w:rPr>
        <w:t>流动人口概念。</w:t>
      </w:r>
    </w:p>
    <w:p w14:paraId="36EFEE78">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hint="eastAsia" w:ascii="Calibri" w:hAnsi="宋体"/>
          <w:szCs w:val="21"/>
        </w:rPr>
      </w:pPr>
      <w:r>
        <w:rPr>
          <w:rFonts w:ascii="Calibri" w:hAnsi="宋体"/>
          <w:szCs w:val="21"/>
        </w:rPr>
        <w:t>熟悉：</w:t>
      </w:r>
      <w:r>
        <w:rPr>
          <w:rFonts w:hint="eastAsia" w:ascii="Calibri" w:hAnsi="宋体"/>
          <w:szCs w:val="21"/>
        </w:rPr>
        <w:t>妇女、儿童、老年人、残疾人、流动人口等各类人群的主要社会卫生问题，影响各类人群健康的社会因素，提高各类人群健康的社会卫生策略。</w:t>
      </w:r>
    </w:p>
    <w:p w14:paraId="413D7F57">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了解：</w:t>
      </w:r>
      <w:r>
        <w:rPr>
          <w:rFonts w:hint="eastAsia" w:ascii="Calibri" w:hAnsi="宋体"/>
          <w:szCs w:val="21"/>
        </w:rPr>
        <w:t>以上各类人群的生理、心理特点</w:t>
      </w:r>
      <w:r>
        <w:rPr>
          <w:rFonts w:ascii="Calibri" w:hAnsi="宋体"/>
          <w:szCs w:val="21"/>
        </w:rPr>
        <w:t>。</w:t>
      </w:r>
    </w:p>
    <w:p w14:paraId="59EC0248">
      <w:pPr>
        <w:keepNext w:val="0"/>
        <w:keepLines w:val="0"/>
        <w:pageBreakBefore w:val="0"/>
        <w:kinsoku/>
        <w:wordWrap/>
        <w:overflowPunct/>
        <w:topLinePunct w:val="0"/>
        <w:autoSpaceDN/>
        <w:bidi w:val="0"/>
        <w:adjustRightInd/>
        <w:snapToGrid/>
        <w:spacing w:beforeAutospacing="0" w:afterAutospacing="0" w:line="500" w:lineRule="exact"/>
        <w:textAlignment w:val="auto"/>
        <w:rPr>
          <w:rFonts w:hint="eastAsia" w:ascii="黑体" w:hAnsi="Calibri" w:eastAsia="黑体"/>
          <w:szCs w:val="21"/>
        </w:rPr>
      </w:pPr>
      <w:r>
        <w:rPr>
          <w:rFonts w:hint="eastAsia" w:ascii="黑体" w:hAnsi="宋体" w:eastAsia="黑体"/>
          <w:szCs w:val="21"/>
        </w:rPr>
        <w:t>（十五）社会因素相关疾病的防控</w:t>
      </w:r>
    </w:p>
    <w:p w14:paraId="580AB3E0">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hint="eastAsia" w:ascii="Calibri" w:hAnsi="宋体"/>
          <w:szCs w:val="21"/>
        </w:rPr>
      </w:pPr>
      <w:r>
        <w:rPr>
          <w:rFonts w:ascii="Calibri" w:hAnsi="宋体"/>
          <w:szCs w:val="21"/>
        </w:rPr>
        <w:t>掌握：社会</w:t>
      </w:r>
      <w:r>
        <w:rPr>
          <w:rFonts w:hint="eastAsia" w:ascii="Calibri" w:hAnsi="宋体"/>
          <w:szCs w:val="21"/>
        </w:rPr>
        <w:t>因素相关疾病的含义及特点，慢性非传染性疾病</w:t>
      </w:r>
      <w:r>
        <w:rPr>
          <w:rFonts w:ascii="Calibri" w:hAnsi="宋体"/>
          <w:szCs w:val="21"/>
        </w:rPr>
        <w:t>的</w:t>
      </w:r>
      <w:r>
        <w:rPr>
          <w:rFonts w:hint="eastAsia" w:ascii="Calibri" w:hAnsi="宋体"/>
          <w:szCs w:val="21"/>
        </w:rPr>
        <w:t>概念</w:t>
      </w:r>
      <w:r>
        <w:rPr>
          <w:rFonts w:ascii="Calibri" w:hAnsi="宋体"/>
          <w:szCs w:val="21"/>
        </w:rPr>
        <w:t>、特点</w:t>
      </w:r>
      <w:r>
        <w:rPr>
          <w:rFonts w:hint="eastAsia" w:ascii="Calibri" w:hAnsi="宋体"/>
          <w:szCs w:val="21"/>
        </w:rPr>
        <w:t>、</w:t>
      </w:r>
      <w:bookmarkStart w:id="8" w:name="OLE_LINK11"/>
      <w:r>
        <w:rPr>
          <w:rFonts w:hint="eastAsia" w:ascii="Calibri" w:hAnsi="宋体"/>
          <w:szCs w:val="21"/>
        </w:rPr>
        <w:t>社会危害及防控策略</w:t>
      </w:r>
      <w:bookmarkEnd w:id="8"/>
      <w:r>
        <w:rPr>
          <w:rFonts w:ascii="Calibri" w:hAnsi="宋体"/>
          <w:szCs w:val="21"/>
        </w:rPr>
        <w:t>，</w:t>
      </w:r>
      <w:bookmarkStart w:id="9" w:name="OLE_LINK13"/>
      <w:bookmarkStart w:id="10" w:name="OLE_LINK12"/>
      <w:r>
        <w:rPr>
          <w:rFonts w:hint="eastAsia" w:ascii="Calibri" w:hAnsi="宋体"/>
          <w:szCs w:val="21"/>
        </w:rPr>
        <w:t>新发传染性疾病</w:t>
      </w:r>
      <w:r>
        <w:rPr>
          <w:rFonts w:ascii="Calibri" w:hAnsi="宋体"/>
          <w:szCs w:val="21"/>
        </w:rPr>
        <w:t>的概念、</w:t>
      </w:r>
      <w:r>
        <w:rPr>
          <w:rFonts w:hint="eastAsia" w:ascii="Calibri" w:hAnsi="宋体"/>
          <w:szCs w:val="21"/>
        </w:rPr>
        <w:t>社会危害及防控策略</w:t>
      </w:r>
      <w:bookmarkEnd w:id="9"/>
      <w:bookmarkEnd w:id="10"/>
      <w:r>
        <w:rPr>
          <w:rFonts w:hint="eastAsia" w:ascii="Calibri" w:hAnsi="宋体"/>
          <w:szCs w:val="21"/>
        </w:rPr>
        <w:t>，</w:t>
      </w:r>
      <w:bookmarkStart w:id="11" w:name="OLE_LINK17"/>
      <w:r>
        <w:rPr>
          <w:rFonts w:hint="eastAsia" w:ascii="Calibri" w:hAnsi="宋体"/>
          <w:szCs w:val="21"/>
        </w:rPr>
        <w:t>自杀</w:t>
      </w:r>
      <w:r>
        <w:rPr>
          <w:rFonts w:ascii="Calibri" w:hAnsi="宋体"/>
          <w:szCs w:val="21"/>
        </w:rPr>
        <w:t>的</w:t>
      </w:r>
      <w:bookmarkStart w:id="12" w:name="OLE_LINK14"/>
      <w:bookmarkStart w:id="13" w:name="OLE_LINK15"/>
      <w:r>
        <w:rPr>
          <w:rFonts w:ascii="Calibri" w:hAnsi="宋体"/>
          <w:szCs w:val="21"/>
        </w:rPr>
        <w:t>概念、</w:t>
      </w:r>
      <w:r>
        <w:rPr>
          <w:rFonts w:hint="eastAsia" w:ascii="Calibri" w:hAnsi="宋体"/>
          <w:szCs w:val="21"/>
        </w:rPr>
        <w:t>社会根源及防控策略，</w:t>
      </w:r>
      <w:bookmarkEnd w:id="11"/>
      <w:bookmarkEnd w:id="12"/>
      <w:bookmarkEnd w:id="13"/>
      <w:bookmarkStart w:id="14" w:name="OLE_LINK16"/>
      <w:r>
        <w:rPr>
          <w:rFonts w:hint="eastAsia" w:ascii="Calibri" w:hAnsi="宋体"/>
          <w:szCs w:val="21"/>
        </w:rPr>
        <w:t>吸毒的</w:t>
      </w:r>
      <w:r>
        <w:rPr>
          <w:rFonts w:ascii="Calibri" w:hAnsi="宋体"/>
          <w:szCs w:val="21"/>
        </w:rPr>
        <w:t>概念、</w:t>
      </w:r>
      <w:r>
        <w:rPr>
          <w:rFonts w:hint="eastAsia" w:ascii="Calibri" w:hAnsi="宋体"/>
          <w:szCs w:val="21"/>
        </w:rPr>
        <w:t>社会危害、社会根源及防控策略，</w:t>
      </w:r>
      <w:bookmarkEnd w:id="14"/>
      <w:r>
        <w:rPr>
          <w:rFonts w:hint="eastAsia" w:ascii="Calibri" w:hAnsi="宋体"/>
          <w:szCs w:val="21"/>
        </w:rPr>
        <w:t>意外伤害的</w:t>
      </w:r>
      <w:r>
        <w:rPr>
          <w:rFonts w:ascii="Calibri" w:hAnsi="宋体"/>
          <w:szCs w:val="21"/>
        </w:rPr>
        <w:t>概念、</w:t>
      </w:r>
      <w:r>
        <w:rPr>
          <w:rFonts w:hint="eastAsia" w:ascii="Calibri" w:hAnsi="宋体"/>
          <w:szCs w:val="21"/>
        </w:rPr>
        <w:t>社会根源及防控策略，性传播疾病</w:t>
      </w:r>
      <w:r>
        <w:rPr>
          <w:rFonts w:ascii="Calibri" w:hAnsi="宋体"/>
          <w:szCs w:val="21"/>
        </w:rPr>
        <w:t>的概念、</w:t>
      </w:r>
      <w:r>
        <w:rPr>
          <w:rFonts w:hint="eastAsia" w:ascii="Calibri" w:hAnsi="宋体"/>
          <w:szCs w:val="21"/>
        </w:rPr>
        <w:t>社会根源及防控策略。</w:t>
      </w:r>
    </w:p>
    <w:p w14:paraId="0181CE4D">
      <w:pPr>
        <w:keepNext w:val="0"/>
        <w:keepLines w:val="0"/>
        <w:pageBreakBefore w:val="0"/>
        <w:kinsoku/>
        <w:wordWrap/>
        <w:overflowPunct/>
        <w:topLinePunct w:val="0"/>
        <w:autoSpaceDN/>
        <w:bidi w:val="0"/>
        <w:adjustRightInd/>
        <w:snapToGrid/>
        <w:spacing w:beforeAutospacing="0" w:afterAutospacing="0" w:line="500" w:lineRule="exact"/>
        <w:ind w:firstLine="420" w:firstLineChars="200"/>
        <w:textAlignment w:val="auto"/>
        <w:rPr>
          <w:rFonts w:ascii="Calibri" w:hAnsi="Calibri"/>
          <w:szCs w:val="21"/>
        </w:rPr>
      </w:pPr>
      <w:r>
        <w:rPr>
          <w:rFonts w:ascii="Calibri" w:hAnsi="宋体"/>
          <w:szCs w:val="21"/>
        </w:rPr>
        <w:t>了解：</w:t>
      </w:r>
      <w:r>
        <w:rPr>
          <w:rFonts w:hint="eastAsia" w:ascii="Calibri" w:hAnsi="宋体"/>
          <w:szCs w:val="21"/>
        </w:rPr>
        <w:t>慢性非传染性疾病、新发传染性疾病、</w:t>
      </w:r>
      <w:r>
        <w:rPr>
          <w:rFonts w:ascii="Calibri" w:hAnsi="宋体"/>
          <w:szCs w:val="21"/>
        </w:rPr>
        <w:t>自杀、吸毒、意外伤害、性传播疾病的流行特征。</w:t>
      </w:r>
    </w:p>
    <w:p w14:paraId="36643FE4">
      <w:pPr>
        <w:keepNext w:val="0"/>
        <w:keepLines w:val="0"/>
        <w:pageBreakBefore w:val="0"/>
        <w:tabs>
          <w:tab w:val="left" w:pos="3225"/>
        </w:tabs>
        <w:kinsoku/>
        <w:wordWrap/>
        <w:overflowPunct/>
        <w:topLinePunct w:val="0"/>
        <w:autoSpaceDN/>
        <w:bidi w:val="0"/>
        <w:adjustRightInd/>
        <w:snapToGrid/>
        <w:spacing w:beforeAutospacing="0" w:afterAutospacing="0" w:line="500" w:lineRule="exact"/>
        <w:jc w:val="center"/>
        <w:textAlignment w:val="auto"/>
        <w:rPr>
          <w:rFonts w:ascii="Calibri" w:hAnsi="Calibri"/>
          <w:b/>
          <w:sz w:val="24"/>
          <w:szCs w:val="21"/>
        </w:rPr>
      </w:pPr>
      <w:r>
        <w:rPr>
          <w:rFonts w:ascii="Calibri" w:hAnsi="Calibri"/>
          <w:sz w:val="24"/>
          <w:szCs w:val="21"/>
        </w:rPr>
        <w:br w:type="page"/>
      </w:r>
      <w:r>
        <w:rPr>
          <w:rFonts w:hint="eastAsia" w:ascii="Calibri" w:hAnsi="Calibri"/>
          <w:b/>
          <w:sz w:val="28"/>
          <w:szCs w:val="21"/>
        </w:rPr>
        <w:t>卫生统计学部分</w:t>
      </w:r>
    </w:p>
    <w:p w14:paraId="6809EE1C">
      <w:pPr>
        <w:keepNext w:val="0"/>
        <w:keepLines w:val="0"/>
        <w:pageBreakBefore w:val="0"/>
        <w:tabs>
          <w:tab w:val="left" w:pos="3225"/>
        </w:tabs>
        <w:kinsoku/>
        <w:wordWrap/>
        <w:overflowPunct/>
        <w:topLinePunct w:val="0"/>
        <w:autoSpaceDN/>
        <w:bidi w:val="0"/>
        <w:adjustRightInd/>
        <w:snapToGrid/>
        <w:spacing w:beforeAutospacing="0" w:afterAutospacing="0" w:line="500" w:lineRule="exact"/>
        <w:textAlignment w:val="auto"/>
        <w:rPr>
          <w:rFonts w:ascii="Calibri" w:hAnsi="宋体"/>
          <w:szCs w:val="21"/>
        </w:rPr>
      </w:pPr>
    </w:p>
    <w:p w14:paraId="7807A646">
      <w:pPr>
        <w:keepNext w:val="0"/>
        <w:keepLines w:val="0"/>
        <w:pageBreakBefore w:val="0"/>
        <w:numPr>
          <w:ilvl w:val="0"/>
          <w:numId w:val="1"/>
        </w:numPr>
        <w:tabs>
          <w:tab w:val="left" w:pos="3225"/>
        </w:tabs>
        <w:kinsoku/>
        <w:wordWrap/>
        <w:overflowPunct/>
        <w:topLinePunct w:val="0"/>
        <w:autoSpaceDN/>
        <w:bidi w:val="0"/>
        <w:adjustRightInd/>
        <w:snapToGrid/>
        <w:spacing w:beforeAutospacing="0" w:afterAutospacing="0" w:line="500" w:lineRule="exact"/>
        <w:ind w:firstLine="420" w:firstLineChars="200"/>
        <w:textAlignment w:val="auto"/>
        <w:rPr>
          <w:rFonts w:ascii="Calibri" w:hAnsi="宋体"/>
          <w:szCs w:val="21"/>
        </w:rPr>
      </w:pPr>
      <w:r>
        <w:rPr>
          <w:rFonts w:hint="eastAsia" w:ascii="黑体" w:hAnsi="黑体" w:eastAsia="黑体" w:cs="黑体"/>
          <w:szCs w:val="21"/>
        </w:rPr>
        <w:t>参考书目</w:t>
      </w:r>
    </w:p>
    <w:p w14:paraId="68111A21">
      <w:pPr>
        <w:keepNext w:val="0"/>
        <w:keepLines w:val="0"/>
        <w:pageBreakBefore w:val="0"/>
        <w:tabs>
          <w:tab w:val="left" w:pos="3225"/>
        </w:tabs>
        <w:kinsoku/>
        <w:wordWrap/>
        <w:overflowPunct/>
        <w:topLinePunct w:val="0"/>
        <w:autoSpaceDN/>
        <w:bidi w:val="0"/>
        <w:adjustRightInd/>
        <w:snapToGrid/>
        <w:spacing w:beforeAutospacing="0" w:afterAutospacing="0" w:line="500" w:lineRule="exact"/>
        <w:ind w:firstLine="420" w:firstLineChars="200"/>
        <w:textAlignment w:val="auto"/>
        <w:rPr>
          <w:rFonts w:ascii="Calibri" w:hAnsi="宋体"/>
          <w:szCs w:val="21"/>
        </w:rPr>
      </w:pPr>
      <w:r>
        <w:rPr>
          <w:rFonts w:hint="eastAsia" w:ascii="Calibri" w:hAnsi="宋体"/>
          <w:szCs w:val="21"/>
        </w:rPr>
        <w:t>《卫生统计学（第8版）》。主编李晓松。人民卫生出版社，2017年出版</w:t>
      </w:r>
    </w:p>
    <w:p w14:paraId="2ED103C0">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0" w:firstLineChars="200"/>
        <w:textAlignment w:val="auto"/>
        <w:rPr>
          <w:rFonts w:ascii="黑体" w:hAnsi="黑体" w:eastAsia="黑体" w:cs="黑体"/>
          <w:kern w:val="2"/>
          <w:sz w:val="21"/>
          <w:szCs w:val="21"/>
        </w:rPr>
      </w:pPr>
      <w:r>
        <w:rPr>
          <w:rFonts w:hint="eastAsia" w:ascii="黑体" w:hAnsi="黑体" w:eastAsia="黑体" w:cs="黑体"/>
          <w:kern w:val="2"/>
          <w:sz w:val="21"/>
          <w:szCs w:val="21"/>
        </w:rPr>
        <w:t>二、考试目的</w:t>
      </w:r>
    </w:p>
    <w:p w14:paraId="4D88B288">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0" w:firstLineChars="200"/>
        <w:textAlignment w:val="auto"/>
        <w:rPr>
          <w:rFonts w:ascii="Calibri" w:cs="Times New Roman"/>
          <w:kern w:val="2"/>
          <w:sz w:val="21"/>
          <w:szCs w:val="21"/>
        </w:rPr>
      </w:pPr>
      <w:r>
        <w:rPr>
          <w:rFonts w:hint="eastAsia" w:ascii="Calibri" w:cs="Times New Roman"/>
          <w:kern w:val="2"/>
          <w:sz w:val="21"/>
          <w:szCs w:val="21"/>
        </w:rPr>
        <w:t>掌握医学统计学所涉及的主要概念、理论、方法，能够运用统计学理论和方法解决卫生实践中的实际问题。</w:t>
      </w:r>
    </w:p>
    <w:p w14:paraId="1B49921D">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0" w:firstLineChars="200"/>
        <w:textAlignment w:val="auto"/>
        <w:rPr>
          <w:rFonts w:ascii="黑体" w:hAnsi="黑体" w:eastAsia="黑体" w:cs="黑体"/>
          <w:kern w:val="2"/>
          <w:sz w:val="21"/>
          <w:szCs w:val="21"/>
        </w:rPr>
      </w:pPr>
      <w:r>
        <w:rPr>
          <w:rFonts w:hint="eastAsia" w:ascii="黑体" w:hAnsi="黑体" w:eastAsia="黑体" w:cs="黑体"/>
          <w:kern w:val="2"/>
          <w:sz w:val="21"/>
          <w:szCs w:val="21"/>
        </w:rPr>
        <w:t>三、考试要点</w:t>
      </w:r>
    </w:p>
    <w:p w14:paraId="02FCEFC0">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0" w:firstLineChars="200"/>
        <w:textAlignment w:val="auto"/>
        <w:rPr>
          <w:rFonts w:ascii="黑体" w:hAnsi="黑体" w:eastAsia="黑体" w:cs="黑体"/>
          <w:kern w:val="2"/>
          <w:sz w:val="21"/>
          <w:szCs w:val="21"/>
        </w:rPr>
      </w:pPr>
      <w:r>
        <w:rPr>
          <w:rFonts w:hint="eastAsia" w:ascii="黑体" w:hAnsi="黑体" w:eastAsia="黑体" w:cs="黑体"/>
          <w:kern w:val="2"/>
          <w:sz w:val="21"/>
          <w:szCs w:val="21"/>
        </w:rPr>
        <w:t>（一）认识数据</w:t>
      </w:r>
    </w:p>
    <w:p w14:paraId="1F434840">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0" w:firstLineChars="200"/>
        <w:textAlignment w:val="auto"/>
        <w:rPr>
          <w:rFonts w:ascii="黑体" w:hAnsi="黑体" w:eastAsia="黑体" w:cs="黑体"/>
          <w:kern w:val="2"/>
          <w:sz w:val="21"/>
          <w:szCs w:val="21"/>
        </w:rPr>
      </w:pPr>
      <w:r>
        <w:rPr>
          <w:rFonts w:hint="eastAsia" w:ascii="黑体" w:hAnsi="黑体" w:eastAsia="黑体" w:cs="黑体"/>
          <w:kern w:val="2"/>
          <w:sz w:val="21"/>
          <w:szCs w:val="21"/>
        </w:rPr>
        <w:t>1. 数据分布</w:t>
      </w:r>
    </w:p>
    <w:p w14:paraId="5FF1DDE9">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0" w:firstLineChars="200"/>
        <w:textAlignment w:val="auto"/>
        <w:rPr>
          <w:rFonts w:ascii="Calibri" w:cs="Times New Roman"/>
          <w:kern w:val="2"/>
          <w:sz w:val="21"/>
          <w:szCs w:val="21"/>
        </w:rPr>
      </w:pPr>
      <w:r>
        <w:rPr>
          <w:rFonts w:hint="eastAsia" w:ascii="黑体" w:hAnsi="黑体" w:eastAsia="黑体" w:cs="黑体"/>
          <w:kern w:val="2"/>
          <w:sz w:val="21"/>
          <w:szCs w:val="21"/>
        </w:rPr>
        <w:t>1）</w:t>
      </w:r>
      <w:r>
        <w:rPr>
          <w:rFonts w:hint="eastAsia" w:ascii="Calibri" w:cs="Times New Roman"/>
          <w:kern w:val="2"/>
          <w:sz w:val="21"/>
          <w:szCs w:val="21"/>
        </w:rPr>
        <w:t>频数分布表和直方图的编制原则和方法；数据分布特征：掌握各种数据分布定义；</w:t>
      </w:r>
    </w:p>
    <w:p w14:paraId="4F8C9F93">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0" w:firstLineChars="200"/>
        <w:textAlignment w:val="auto"/>
        <w:rPr>
          <w:rFonts w:ascii="Calibri" w:cs="Times New Roman"/>
          <w:kern w:val="2"/>
          <w:sz w:val="21"/>
          <w:szCs w:val="21"/>
        </w:rPr>
      </w:pPr>
      <w:r>
        <w:rPr>
          <w:rFonts w:hint="eastAsia" w:ascii="Calibri" w:cs="Times New Roman"/>
          <w:kern w:val="2"/>
          <w:sz w:val="21"/>
          <w:szCs w:val="21"/>
        </w:rPr>
        <w:t>2）集中位置的描述： 算术平均数、几何均数、中位数；</w:t>
      </w:r>
    </w:p>
    <w:p w14:paraId="713FB97C">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0" w:firstLineChars="200"/>
        <w:textAlignment w:val="auto"/>
        <w:rPr>
          <w:rFonts w:ascii="Calibri" w:cs="Times New Roman"/>
          <w:kern w:val="2"/>
          <w:sz w:val="21"/>
          <w:szCs w:val="21"/>
        </w:rPr>
      </w:pPr>
      <w:r>
        <w:rPr>
          <w:rFonts w:hint="eastAsia" w:ascii="Calibri" w:cs="Times New Roman"/>
          <w:kern w:val="2"/>
          <w:sz w:val="21"/>
          <w:szCs w:val="21"/>
        </w:rPr>
        <w:t>3）变异程度的描述： 极差、四分位数间距、方差、标准差和变异系数；</w:t>
      </w:r>
    </w:p>
    <w:p w14:paraId="729B592F">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0" w:firstLineChars="200"/>
        <w:textAlignment w:val="auto"/>
        <w:rPr>
          <w:rFonts w:ascii="Calibri" w:cs="Times New Roman"/>
          <w:kern w:val="2"/>
          <w:sz w:val="21"/>
          <w:szCs w:val="21"/>
        </w:rPr>
      </w:pPr>
      <w:r>
        <w:rPr>
          <w:rFonts w:hint="eastAsia" w:ascii="Calibri" w:cs="Times New Roman"/>
          <w:kern w:val="2"/>
          <w:sz w:val="21"/>
          <w:szCs w:val="21"/>
        </w:rPr>
        <w:t>4）分类变量的常用统计图：饼图、直方图的定义、类型、用途。</w:t>
      </w:r>
    </w:p>
    <w:p w14:paraId="33C5B85A">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2" w:firstLineChars="200"/>
        <w:textAlignment w:val="auto"/>
        <w:rPr>
          <w:rFonts w:ascii="Calibri" w:cs="Times New Roman"/>
          <w:b/>
          <w:bCs/>
          <w:kern w:val="2"/>
          <w:sz w:val="21"/>
          <w:szCs w:val="21"/>
        </w:rPr>
      </w:pPr>
      <w:r>
        <w:rPr>
          <w:rFonts w:ascii="Calibri" w:cs="Times New Roman"/>
          <w:b/>
          <w:bCs/>
          <w:kern w:val="2"/>
          <w:sz w:val="21"/>
          <w:szCs w:val="21"/>
        </w:rPr>
        <w:t xml:space="preserve">2. </w:t>
      </w:r>
      <w:r>
        <w:rPr>
          <w:rFonts w:hint="eastAsia" w:ascii="Calibri" w:cs="Times New Roman"/>
          <w:b/>
          <w:bCs/>
          <w:kern w:val="2"/>
          <w:sz w:val="21"/>
          <w:szCs w:val="21"/>
        </w:rPr>
        <w:t>数据关联的探索</w:t>
      </w:r>
    </w:p>
    <w:p w14:paraId="6058C04D">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0" w:firstLineChars="200"/>
        <w:textAlignment w:val="auto"/>
        <w:rPr>
          <w:rFonts w:ascii="Calibri" w:cs="Times New Roman"/>
          <w:kern w:val="2"/>
          <w:sz w:val="21"/>
          <w:szCs w:val="21"/>
        </w:rPr>
      </w:pPr>
      <w:r>
        <w:rPr>
          <w:rFonts w:hint="eastAsia" w:ascii="Calibri" w:cs="Times New Roman"/>
          <w:kern w:val="2"/>
          <w:sz w:val="21"/>
          <w:szCs w:val="21"/>
        </w:rPr>
        <w:t>1）散点图定义、制作、解释和用途；</w:t>
      </w:r>
    </w:p>
    <w:p w14:paraId="110806F8">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0" w:firstLineChars="200"/>
        <w:textAlignment w:val="auto"/>
        <w:rPr>
          <w:rFonts w:ascii="Calibri" w:cs="Times New Roman"/>
          <w:kern w:val="2"/>
          <w:sz w:val="21"/>
          <w:szCs w:val="21"/>
        </w:rPr>
      </w:pPr>
      <w:r>
        <w:rPr>
          <w:rFonts w:hint="eastAsia" w:ascii="Calibri" w:cs="Times New Roman"/>
          <w:kern w:val="2"/>
          <w:sz w:val="21"/>
          <w:szCs w:val="21"/>
        </w:rPr>
        <w:t>2）相关：相关系数的计算与解释，如何刻画不同类型数据的相关关系；</w:t>
      </w:r>
    </w:p>
    <w:p w14:paraId="535CF95D">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0" w:firstLineChars="200"/>
        <w:textAlignment w:val="auto"/>
        <w:rPr>
          <w:rFonts w:ascii="Calibri" w:cs="Times New Roman"/>
          <w:kern w:val="2"/>
          <w:sz w:val="21"/>
          <w:szCs w:val="21"/>
        </w:rPr>
      </w:pPr>
      <w:r>
        <w:rPr>
          <w:rFonts w:hint="eastAsia" w:ascii="Calibri" w:cs="Times New Roman"/>
          <w:kern w:val="2"/>
          <w:sz w:val="21"/>
          <w:szCs w:val="21"/>
        </w:rPr>
        <w:t>3）回归现象：回归方程的解释、残差、决定系数；</w:t>
      </w:r>
    </w:p>
    <w:p w14:paraId="222C7E43">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2" w:firstLineChars="200"/>
        <w:textAlignment w:val="auto"/>
        <w:rPr>
          <w:rFonts w:ascii="Calibri" w:cs="Times New Roman"/>
          <w:b/>
          <w:bCs/>
          <w:kern w:val="2"/>
          <w:sz w:val="21"/>
          <w:szCs w:val="21"/>
        </w:rPr>
      </w:pPr>
      <w:r>
        <w:rPr>
          <w:rFonts w:ascii="Calibri" w:cs="Times New Roman"/>
          <w:b/>
          <w:bCs/>
          <w:kern w:val="2"/>
          <w:sz w:val="21"/>
          <w:szCs w:val="21"/>
        </w:rPr>
        <w:t xml:space="preserve">3. </w:t>
      </w:r>
      <w:r>
        <w:rPr>
          <w:rFonts w:hint="eastAsia" w:ascii="Calibri" w:cs="Times New Roman"/>
          <w:b/>
          <w:bCs/>
          <w:kern w:val="2"/>
          <w:sz w:val="21"/>
          <w:szCs w:val="21"/>
        </w:rPr>
        <w:t>数据的产生</w:t>
      </w:r>
    </w:p>
    <w:p w14:paraId="6CD893D4">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0" w:firstLineChars="200"/>
        <w:textAlignment w:val="auto"/>
        <w:rPr>
          <w:rFonts w:ascii="Calibri" w:cs="Times New Roman"/>
          <w:kern w:val="2"/>
          <w:sz w:val="21"/>
          <w:szCs w:val="21"/>
        </w:rPr>
      </w:pPr>
      <w:r>
        <w:rPr>
          <w:rFonts w:hint="eastAsia" w:ascii="Calibri" w:cs="Times New Roman"/>
          <w:kern w:val="2"/>
          <w:sz w:val="21"/>
          <w:szCs w:val="21"/>
        </w:rPr>
        <w:t>1）观察性研究与实验性研究；</w:t>
      </w:r>
    </w:p>
    <w:p w14:paraId="0E9B11F5">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0" w:firstLineChars="200"/>
        <w:textAlignment w:val="auto"/>
        <w:rPr>
          <w:rFonts w:ascii="Calibri" w:cs="Times New Roman"/>
          <w:kern w:val="2"/>
          <w:sz w:val="21"/>
          <w:szCs w:val="21"/>
        </w:rPr>
      </w:pPr>
      <w:r>
        <w:rPr>
          <w:rFonts w:hint="eastAsia" w:ascii="Calibri" w:cs="Times New Roman"/>
          <w:kern w:val="2"/>
          <w:sz w:val="21"/>
          <w:szCs w:val="21"/>
        </w:rPr>
        <w:t>2）随机对照试验的基本原则：对照、随机化、重复；试验的安慰剂效应及其偏倚；</w:t>
      </w:r>
    </w:p>
    <w:p w14:paraId="580C15B0">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0" w:firstLineChars="200"/>
        <w:textAlignment w:val="auto"/>
        <w:rPr>
          <w:rFonts w:ascii="Calibri" w:cs="Times New Roman"/>
          <w:kern w:val="2"/>
          <w:sz w:val="21"/>
          <w:szCs w:val="21"/>
        </w:rPr>
      </w:pPr>
      <w:r>
        <w:rPr>
          <w:rFonts w:hint="eastAsia" w:ascii="Calibri" w:cs="Times New Roman"/>
          <w:kern w:val="2"/>
          <w:sz w:val="21"/>
          <w:szCs w:val="21"/>
        </w:rPr>
        <w:t>3）简单随机抽样；</w:t>
      </w:r>
    </w:p>
    <w:p w14:paraId="7679F8BA">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0" w:firstLineChars="200"/>
        <w:textAlignment w:val="auto"/>
        <w:rPr>
          <w:rFonts w:ascii="Calibri" w:cs="Times New Roman"/>
          <w:kern w:val="2"/>
          <w:sz w:val="21"/>
          <w:szCs w:val="21"/>
        </w:rPr>
      </w:pPr>
      <w:r>
        <w:rPr>
          <w:rFonts w:hint="eastAsia" w:ascii="Calibri" w:cs="Times New Roman"/>
          <w:kern w:val="2"/>
          <w:sz w:val="21"/>
          <w:szCs w:val="21"/>
        </w:rPr>
        <w:t>4）参数、统计量的概念及其关系；抽样误差、标准误的概念；偏倚的概念；</w:t>
      </w:r>
    </w:p>
    <w:p w14:paraId="13EB7B7F">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0" w:firstLineChars="200"/>
        <w:textAlignment w:val="auto"/>
        <w:rPr>
          <w:rFonts w:ascii="Calibri" w:cs="Times New Roman"/>
          <w:kern w:val="2"/>
          <w:sz w:val="21"/>
          <w:szCs w:val="21"/>
        </w:rPr>
      </w:pPr>
      <w:r>
        <w:rPr>
          <w:rFonts w:hint="eastAsia" w:ascii="Calibri" w:cs="Times New Roman"/>
          <w:kern w:val="2"/>
          <w:sz w:val="21"/>
          <w:szCs w:val="21"/>
        </w:rPr>
        <w:t>5）基本的数据伦理，知情同意概念及其重要性。</w:t>
      </w:r>
    </w:p>
    <w:p w14:paraId="162FB1D2">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2" w:firstLineChars="200"/>
        <w:textAlignment w:val="auto"/>
        <w:rPr>
          <w:rFonts w:ascii="Calibri" w:cs="Times New Roman"/>
          <w:b/>
          <w:bCs/>
          <w:kern w:val="2"/>
          <w:sz w:val="21"/>
          <w:szCs w:val="21"/>
        </w:rPr>
      </w:pPr>
      <w:r>
        <w:rPr>
          <w:rFonts w:hint="eastAsia" w:ascii="Calibri" w:cs="Times New Roman"/>
          <w:b/>
          <w:bCs/>
          <w:kern w:val="2"/>
          <w:sz w:val="21"/>
          <w:szCs w:val="21"/>
        </w:rPr>
        <w:t>（二）概率与推断基础</w:t>
      </w:r>
    </w:p>
    <w:p w14:paraId="2114BC99">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2" w:firstLineChars="200"/>
        <w:textAlignment w:val="auto"/>
        <w:rPr>
          <w:rFonts w:ascii="Calibri" w:cs="Times New Roman"/>
          <w:b/>
          <w:bCs/>
          <w:kern w:val="2"/>
          <w:sz w:val="21"/>
          <w:szCs w:val="21"/>
        </w:rPr>
      </w:pPr>
      <w:r>
        <w:rPr>
          <w:rFonts w:ascii="Calibri" w:cs="Times New Roman"/>
          <w:b/>
          <w:bCs/>
          <w:kern w:val="2"/>
          <w:sz w:val="21"/>
          <w:szCs w:val="21"/>
        </w:rPr>
        <w:t>1.</w:t>
      </w:r>
      <w:r>
        <w:rPr>
          <w:rFonts w:hint="eastAsia" w:ascii="Calibri" w:cs="Times New Roman"/>
          <w:b/>
          <w:bCs/>
          <w:kern w:val="2"/>
          <w:sz w:val="21"/>
          <w:szCs w:val="21"/>
        </w:rPr>
        <w:t>基本概率理论</w:t>
      </w:r>
    </w:p>
    <w:p w14:paraId="574B006E">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0" w:firstLineChars="200"/>
        <w:textAlignment w:val="auto"/>
        <w:rPr>
          <w:rFonts w:ascii="Calibri" w:cs="Times New Roman"/>
          <w:kern w:val="2"/>
          <w:sz w:val="21"/>
          <w:szCs w:val="21"/>
        </w:rPr>
      </w:pPr>
      <w:r>
        <w:rPr>
          <w:rFonts w:hint="eastAsia" w:ascii="Calibri" w:cs="Times New Roman"/>
          <w:kern w:val="2"/>
          <w:sz w:val="21"/>
          <w:szCs w:val="21"/>
        </w:rPr>
        <w:t>1）概率的定义与基本性质、独立事件和条件概率的概念；</w:t>
      </w:r>
    </w:p>
    <w:p w14:paraId="3946B1AC">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0" w:firstLineChars="200"/>
        <w:textAlignment w:val="auto"/>
        <w:rPr>
          <w:rFonts w:ascii="Calibri" w:cs="Times New Roman"/>
          <w:kern w:val="2"/>
          <w:sz w:val="21"/>
          <w:szCs w:val="21"/>
        </w:rPr>
      </w:pPr>
      <w:r>
        <w:rPr>
          <w:rFonts w:hint="eastAsia" w:ascii="Calibri" w:cs="Times New Roman"/>
          <w:kern w:val="2"/>
          <w:sz w:val="21"/>
          <w:szCs w:val="21"/>
        </w:rPr>
        <w:t>2）离散型和连续型随机变量概念及其概率分布；随机变量的均数和方差；</w:t>
      </w:r>
    </w:p>
    <w:p w14:paraId="522E5377">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0" w:firstLineChars="200"/>
        <w:textAlignment w:val="auto"/>
        <w:rPr>
          <w:rFonts w:ascii="Calibri" w:cs="Times New Roman"/>
          <w:kern w:val="2"/>
          <w:sz w:val="21"/>
          <w:szCs w:val="21"/>
        </w:rPr>
      </w:pPr>
      <w:r>
        <w:rPr>
          <w:rFonts w:hint="eastAsia" w:ascii="Calibri" w:cs="Times New Roman"/>
          <w:kern w:val="2"/>
          <w:sz w:val="21"/>
          <w:szCs w:val="21"/>
        </w:rPr>
        <w:t>3）正态分布及其重要性，正态曲线特点。</w:t>
      </w:r>
    </w:p>
    <w:p w14:paraId="461D419A">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2" w:firstLineChars="200"/>
        <w:textAlignment w:val="auto"/>
        <w:rPr>
          <w:rFonts w:ascii="Calibri" w:cs="Times New Roman"/>
          <w:b/>
          <w:bCs/>
          <w:kern w:val="2"/>
          <w:sz w:val="21"/>
          <w:szCs w:val="21"/>
        </w:rPr>
      </w:pPr>
      <w:r>
        <w:rPr>
          <w:rFonts w:ascii="Calibri" w:cs="Times New Roman"/>
          <w:b/>
          <w:bCs/>
          <w:kern w:val="2"/>
          <w:sz w:val="21"/>
          <w:szCs w:val="21"/>
        </w:rPr>
        <w:t xml:space="preserve">2. </w:t>
      </w:r>
      <w:r>
        <w:rPr>
          <w:rFonts w:hint="eastAsia" w:ascii="Calibri" w:cs="Times New Roman"/>
          <w:b/>
          <w:bCs/>
          <w:kern w:val="2"/>
          <w:sz w:val="21"/>
          <w:szCs w:val="21"/>
        </w:rPr>
        <w:t>统计推断</w:t>
      </w:r>
    </w:p>
    <w:p w14:paraId="33233A62">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0" w:firstLineChars="200"/>
        <w:textAlignment w:val="auto"/>
        <w:rPr>
          <w:rFonts w:ascii="Calibri" w:cs="Times New Roman"/>
          <w:kern w:val="2"/>
          <w:sz w:val="21"/>
          <w:szCs w:val="21"/>
        </w:rPr>
      </w:pPr>
      <w:r>
        <w:rPr>
          <w:rFonts w:hint="eastAsia" w:ascii="Calibri" w:cs="Times New Roman"/>
          <w:kern w:val="2"/>
          <w:sz w:val="21"/>
          <w:szCs w:val="21"/>
        </w:rPr>
        <w:t>1）置信区间概念，含义，与样本量之间的关系；</w:t>
      </w:r>
    </w:p>
    <w:p w14:paraId="6C9A60A8">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0" w:firstLineChars="200"/>
        <w:textAlignment w:val="auto"/>
        <w:rPr>
          <w:rFonts w:ascii="Calibri" w:cs="Times New Roman"/>
          <w:kern w:val="2"/>
          <w:sz w:val="21"/>
          <w:szCs w:val="21"/>
        </w:rPr>
      </w:pPr>
      <w:r>
        <w:rPr>
          <w:rFonts w:hint="eastAsia" w:ascii="Calibri" w:cs="Times New Roman"/>
          <w:kern w:val="2"/>
          <w:sz w:val="21"/>
          <w:szCs w:val="21"/>
        </w:rPr>
        <w:t>2）假设检验的基本思想，基本步骤，正确使用；</w:t>
      </w:r>
    </w:p>
    <w:p w14:paraId="5C31B694">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0" w:firstLineChars="200"/>
        <w:textAlignment w:val="auto"/>
        <w:rPr>
          <w:rFonts w:ascii="Calibri" w:cs="Times New Roman"/>
          <w:kern w:val="2"/>
          <w:sz w:val="21"/>
          <w:szCs w:val="21"/>
        </w:rPr>
      </w:pPr>
      <w:r>
        <w:rPr>
          <w:rFonts w:hint="eastAsia" w:ascii="Calibri" w:cs="Times New Roman"/>
          <w:kern w:val="2"/>
          <w:sz w:val="21"/>
          <w:szCs w:val="21"/>
        </w:rPr>
        <w:t>3）检验效能的概念、Ⅰ型错误与Ⅱ型错误的概念。</w:t>
      </w:r>
    </w:p>
    <w:p w14:paraId="46B5C78D">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2" w:firstLineChars="200"/>
        <w:textAlignment w:val="auto"/>
        <w:rPr>
          <w:rFonts w:ascii="Calibri" w:cs="Times New Roman"/>
          <w:b/>
          <w:bCs/>
          <w:kern w:val="2"/>
          <w:sz w:val="21"/>
          <w:szCs w:val="21"/>
        </w:rPr>
      </w:pPr>
      <w:r>
        <w:rPr>
          <w:rFonts w:hint="eastAsia" w:ascii="Calibri" w:cs="Times New Roman"/>
          <w:b/>
          <w:bCs/>
          <w:kern w:val="2"/>
          <w:sz w:val="21"/>
          <w:szCs w:val="21"/>
        </w:rPr>
        <w:t>（三）常用推断方法</w:t>
      </w:r>
    </w:p>
    <w:p w14:paraId="752B36D1">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2" w:firstLineChars="200"/>
        <w:textAlignment w:val="auto"/>
        <w:rPr>
          <w:rFonts w:ascii="Calibri" w:cs="Times New Roman"/>
          <w:b/>
          <w:bCs/>
          <w:kern w:val="2"/>
          <w:sz w:val="21"/>
          <w:szCs w:val="21"/>
        </w:rPr>
      </w:pPr>
      <w:r>
        <w:rPr>
          <w:rFonts w:ascii="Calibri" w:cs="Times New Roman"/>
          <w:b/>
          <w:bCs/>
          <w:kern w:val="2"/>
          <w:sz w:val="21"/>
          <w:szCs w:val="21"/>
        </w:rPr>
        <w:t>1</w:t>
      </w:r>
      <w:r>
        <w:rPr>
          <w:rFonts w:hint="eastAsia" w:ascii="Calibri" w:cs="Times New Roman"/>
          <w:b/>
          <w:bCs/>
          <w:kern w:val="2"/>
          <w:sz w:val="21"/>
          <w:szCs w:val="21"/>
        </w:rPr>
        <w:t>．基本情形的参数推断</w:t>
      </w:r>
    </w:p>
    <w:p w14:paraId="3E00EA0A">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0" w:firstLineChars="200"/>
        <w:textAlignment w:val="auto"/>
        <w:rPr>
          <w:rFonts w:ascii="Calibri" w:cs="Times New Roman"/>
          <w:kern w:val="2"/>
          <w:sz w:val="21"/>
          <w:szCs w:val="21"/>
        </w:rPr>
      </w:pPr>
      <w:r>
        <w:rPr>
          <w:rFonts w:hint="eastAsia" w:ascii="Calibri" w:cs="Times New Roman"/>
          <w:kern w:val="2"/>
          <w:sz w:val="21"/>
          <w:szCs w:val="21"/>
        </w:rPr>
        <w:t>1）样本均数与总体均数比较的t检验，t分布的概念、特征及其稳健性；单样本总体均数推断；</w:t>
      </w:r>
    </w:p>
    <w:p w14:paraId="6B946BE5">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0" w:firstLineChars="200"/>
        <w:textAlignment w:val="auto"/>
        <w:rPr>
          <w:rFonts w:ascii="Calibri" w:cs="Times New Roman"/>
          <w:kern w:val="2"/>
          <w:sz w:val="21"/>
          <w:szCs w:val="21"/>
        </w:rPr>
      </w:pPr>
      <w:r>
        <w:rPr>
          <w:rFonts w:hint="eastAsia" w:ascii="Calibri" w:cs="Times New Roman"/>
          <w:kern w:val="2"/>
          <w:sz w:val="21"/>
          <w:szCs w:val="21"/>
        </w:rPr>
        <w:t>2）两个总体均数：两样本统计量的稳健性；</w:t>
      </w:r>
    </w:p>
    <w:p w14:paraId="6F21E67D">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0" w:firstLineChars="200"/>
        <w:textAlignment w:val="auto"/>
        <w:rPr>
          <w:rFonts w:ascii="Calibri" w:cs="Times New Roman"/>
          <w:kern w:val="2"/>
          <w:sz w:val="21"/>
          <w:szCs w:val="21"/>
        </w:rPr>
      </w:pPr>
      <w:r>
        <w:rPr>
          <w:rFonts w:hint="eastAsia" w:ascii="Calibri" w:cs="Times New Roman"/>
          <w:kern w:val="2"/>
          <w:sz w:val="21"/>
          <w:szCs w:val="21"/>
        </w:rPr>
        <w:t>3）总体率的假设检验。</w:t>
      </w:r>
    </w:p>
    <w:p w14:paraId="55BAC618">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2" w:firstLineChars="200"/>
        <w:textAlignment w:val="auto"/>
        <w:rPr>
          <w:rFonts w:ascii="Calibri" w:cs="Times New Roman"/>
          <w:b/>
          <w:bCs/>
          <w:kern w:val="2"/>
          <w:sz w:val="21"/>
          <w:szCs w:val="21"/>
        </w:rPr>
      </w:pPr>
      <w:r>
        <w:rPr>
          <w:rFonts w:ascii="Calibri" w:cs="Times New Roman"/>
          <w:b/>
          <w:bCs/>
          <w:kern w:val="2"/>
          <w:sz w:val="21"/>
          <w:szCs w:val="21"/>
        </w:rPr>
        <w:t xml:space="preserve">2. </w:t>
      </w:r>
      <w:r>
        <w:rPr>
          <w:rFonts w:hint="eastAsia" w:ascii="Calibri" w:cs="Times New Roman"/>
          <w:b/>
          <w:bCs/>
          <w:kern w:val="2"/>
          <w:sz w:val="21"/>
          <w:szCs w:val="21"/>
        </w:rPr>
        <w:t>多个均数比较的方差分析</w:t>
      </w:r>
    </w:p>
    <w:p w14:paraId="69F175D6">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0" w:firstLineChars="200"/>
        <w:textAlignment w:val="auto"/>
        <w:rPr>
          <w:rFonts w:ascii="Calibri" w:cs="Times New Roman"/>
          <w:kern w:val="2"/>
          <w:sz w:val="21"/>
          <w:szCs w:val="21"/>
        </w:rPr>
      </w:pPr>
      <w:r>
        <w:rPr>
          <w:rFonts w:hint="eastAsia" w:ascii="Calibri" w:cs="Times New Roman"/>
          <w:kern w:val="2"/>
          <w:sz w:val="21"/>
          <w:szCs w:val="21"/>
        </w:rPr>
        <w:t>方差分析的基本思想；完全随机设计方差分析总变异的分解方法；方差分析的应用条件。</w:t>
      </w:r>
    </w:p>
    <w:p w14:paraId="1DB580A3">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2" w:firstLineChars="200"/>
        <w:textAlignment w:val="auto"/>
        <w:rPr>
          <w:rFonts w:ascii="黑体" w:hAnsi="黑体" w:eastAsia="黑体" w:cs="黑体"/>
          <w:b/>
          <w:bCs/>
          <w:kern w:val="2"/>
          <w:sz w:val="21"/>
          <w:szCs w:val="21"/>
        </w:rPr>
      </w:pPr>
      <w:r>
        <w:rPr>
          <w:rFonts w:ascii="Calibri" w:cs="Times New Roman"/>
          <w:b/>
          <w:bCs/>
          <w:kern w:val="2"/>
          <w:sz w:val="21"/>
          <w:szCs w:val="21"/>
        </w:rPr>
        <w:t>3.</w:t>
      </w:r>
      <w:r>
        <w:rPr>
          <w:rFonts w:hint="eastAsia" w:ascii="Calibri" w:cs="Times New Roman"/>
          <w:b/>
          <w:bCs/>
          <w:kern w:val="2"/>
          <w:sz w:val="21"/>
          <w:szCs w:val="21"/>
        </w:rPr>
        <w:t>分类变量的</w:t>
      </w:r>
      <w:r>
        <w:rPr>
          <w:rFonts w:hint="eastAsia" w:ascii="黑体" w:hAnsi="黑体" w:eastAsia="黑体" w:cs="黑体"/>
          <w:b/>
          <w:bCs/>
          <w:kern w:val="2"/>
          <w:sz w:val="21"/>
          <w:szCs w:val="21"/>
        </w:rPr>
        <w:t>χ</w:t>
      </w:r>
      <w:r>
        <w:rPr>
          <w:rFonts w:ascii="黑体" w:hAnsi="黑体" w:eastAsia="黑体" w:cs="黑体"/>
          <w:b/>
          <w:bCs/>
          <w:kern w:val="2"/>
          <w:sz w:val="21"/>
          <w:szCs w:val="21"/>
          <w:vertAlign w:val="superscript"/>
        </w:rPr>
        <w:t xml:space="preserve">2 </w:t>
      </w:r>
      <w:r>
        <w:rPr>
          <w:rFonts w:hint="eastAsia" w:ascii="Calibri" w:cs="Times New Roman"/>
          <w:b/>
          <w:bCs/>
          <w:kern w:val="2"/>
          <w:sz w:val="21"/>
          <w:szCs w:val="21"/>
        </w:rPr>
        <w:t>检验</w:t>
      </w:r>
    </w:p>
    <w:p w14:paraId="20513BFD">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0" w:firstLineChars="200"/>
        <w:textAlignment w:val="auto"/>
        <w:rPr>
          <w:rFonts w:ascii="Calibri" w:cs="Times New Roman"/>
          <w:kern w:val="2"/>
          <w:sz w:val="21"/>
          <w:szCs w:val="21"/>
        </w:rPr>
      </w:pPr>
      <w:r>
        <w:rPr>
          <w:rFonts w:hint="eastAsia" w:ascii="Calibri" w:cs="Times New Roman"/>
          <w:kern w:val="2"/>
          <w:sz w:val="21"/>
          <w:szCs w:val="21"/>
        </w:rPr>
        <w:t>1）</w:t>
      </w:r>
      <w:r>
        <w:rPr>
          <w:rFonts w:hint="eastAsia" w:ascii="黑体" w:hAnsi="黑体" w:eastAsia="黑体" w:cs="黑体"/>
          <w:kern w:val="2"/>
          <w:sz w:val="21"/>
          <w:szCs w:val="21"/>
        </w:rPr>
        <w:t>χ</w:t>
      </w:r>
      <w:r>
        <w:rPr>
          <w:rFonts w:hint="eastAsia" w:ascii="黑体" w:hAnsi="黑体" w:eastAsia="黑体" w:cs="黑体"/>
          <w:kern w:val="2"/>
          <w:sz w:val="21"/>
          <w:szCs w:val="21"/>
          <w:vertAlign w:val="superscript"/>
        </w:rPr>
        <w:t>2</w:t>
      </w:r>
      <w:r>
        <w:rPr>
          <w:rFonts w:hint="eastAsia" w:ascii="Calibri" w:cs="Times New Roman"/>
          <w:kern w:val="2"/>
          <w:sz w:val="21"/>
          <w:szCs w:val="21"/>
        </w:rPr>
        <w:t>检验的基本思想和基本用途；</w:t>
      </w:r>
    </w:p>
    <w:p w14:paraId="39A9C536">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0" w:firstLineChars="200"/>
        <w:textAlignment w:val="auto"/>
        <w:rPr>
          <w:rFonts w:ascii="Calibri" w:cs="Times New Roman"/>
          <w:kern w:val="2"/>
          <w:sz w:val="21"/>
          <w:szCs w:val="21"/>
        </w:rPr>
      </w:pPr>
      <w:r>
        <w:rPr>
          <w:rFonts w:hint="eastAsia" w:ascii="Calibri" w:cs="Times New Roman"/>
          <w:kern w:val="2"/>
          <w:sz w:val="21"/>
          <w:szCs w:val="21"/>
        </w:rPr>
        <w:t>2）四格表资料：成组设计四格表资料χ</w:t>
      </w:r>
      <w:r>
        <w:rPr>
          <w:rFonts w:hint="eastAsia" w:ascii="Calibri" w:cs="Times New Roman"/>
          <w:kern w:val="2"/>
          <w:sz w:val="21"/>
          <w:szCs w:val="21"/>
          <w:vertAlign w:val="superscript"/>
        </w:rPr>
        <w:t>2</w:t>
      </w:r>
      <w:r>
        <w:rPr>
          <w:rFonts w:hint="eastAsia" w:ascii="Calibri" w:cs="Times New Roman"/>
          <w:kern w:val="2"/>
          <w:sz w:val="21"/>
          <w:szCs w:val="21"/>
        </w:rPr>
        <w:t>检验的计算及应用条件、配对设计四格表资料χ</w:t>
      </w:r>
      <w:r>
        <w:rPr>
          <w:rFonts w:hint="eastAsia" w:ascii="Calibri" w:cs="Times New Roman"/>
          <w:kern w:val="2"/>
          <w:sz w:val="21"/>
          <w:szCs w:val="21"/>
          <w:vertAlign w:val="superscript"/>
        </w:rPr>
        <w:t>2</w:t>
      </w:r>
      <w:r>
        <w:rPr>
          <w:rFonts w:hint="eastAsia" w:ascii="Calibri" w:cs="Times New Roman"/>
          <w:kern w:val="2"/>
          <w:sz w:val="21"/>
          <w:szCs w:val="21"/>
        </w:rPr>
        <w:t>检验及应用条件；</w:t>
      </w:r>
    </w:p>
    <w:p w14:paraId="3BD2C12A">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0" w:firstLineChars="200"/>
        <w:textAlignment w:val="auto"/>
        <w:rPr>
          <w:rFonts w:ascii="Calibri" w:cs="Times New Roman"/>
          <w:kern w:val="2"/>
          <w:sz w:val="21"/>
          <w:szCs w:val="21"/>
        </w:rPr>
      </w:pPr>
      <w:r>
        <w:rPr>
          <w:rFonts w:hint="eastAsia" w:ascii="Calibri" w:cs="Times New Roman"/>
          <w:kern w:val="2"/>
          <w:sz w:val="21"/>
          <w:szCs w:val="21"/>
        </w:rPr>
        <w:t>3）2*2交叉表中，Fisher确切概率法的使用条件。</w:t>
      </w:r>
    </w:p>
    <w:p w14:paraId="1F702022">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2" w:firstLineChars="200"/>
        <w:textAlignment w:val="auto"/>
        <w:rPr>
          <w:rFonts w:ascii="Calibri" w:cs="Times New Roman"/>
          <w:b/>
          <w:bCs/>
          <w:kern w:val="2"/>
          <w:sz w:val="21"/>
          <w:szCs w:val="21"/>
        </w:rPr>
      </w:pPr>
      <w:r>
        <w:rPr>
          <w:rFonts w:ascii="Calibri" w:cs="Times New Roman"/>
          <w:b/>
          <w:bCs/>
          <w:kern w:val="2"/>
          <w:sz w:val="21"/>
          <w:szCs w:val="21"/>
        </w:rPr>
        <w:t xml:space="preserve">4. </w:t>
      </w:r>
      <w:r>
        <w:rPr>
          <w:rFonts w:hint="eastAsia" w:ascii="Calibri" w:cs="Times New Roman"/>
          <w:b/>
          <w:bCs/>
          <w:kern w:val="2"/>
          <w:sz w:val="21"/>
          <w:szCs w:val="21"/>
        </w:rPr>
        <w:t>基于秩的非参数检验</w:t>
      </w:r>
    </w:p>
    <w:p w14:paraId="2E304801">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0" w:firstLineChars="200"/>
        <w:textAlignment w:val="auto"/>
        <w:rPr>
          <w:rFonts w:ascii="Calibri" w:cs="Times New Roman"/>
          <w:kern w:val="2"/>
          <w:sz w:val="21"/>
          <w:szCs w:val="21"/>
        </w:rPr>
      </w:pPr>
      <w:r>
        <w:rPr>
          <w:rFonts w:hint="eastAsia" w:ascii="Calibri" w:cs="Times New Roman"/>
          <w:kern w:val="2"/>
          <w:sz w:val="21"/>
          <w:szCs w:val="21"/>
        </w:rPr>
        <w:t>1）非参数检验的概念，单样本数据的符号秩和检验，配对设计数据的符号秩和检验；</w:t>
      </w:r>
    </w:p>
    <w:p w14:paraId="2CAB31C3">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0" w:firstLineChars="200"/>
        <w:textAlignment w:val="auto"/>
        <w:rPr>
          <w:rFonts w:ascii="Calibri" w:cs="Times New Roman"/>
          <w:kern w:val="2"/>
          <w:sz w:val="21"/>
          <w:szCs w:val="21"/>
        </w:rPr>
      </w:pPr>
      <w:r>
        <w:rPr>
          <w:rFonts w:hint="eastAsia" w:ascii="Calibri" w:cs="Times New Roman"/>
          <w:kern w:val="2"/>
          <w:sz w:val="21"/>
          <w:szCs w:val="21"/>
        </w:rPr>
        <w:t>2）两组独立样本比较的秩和检验；</w:t>
      </w:r>
    </w:p>
    <w:p w14:paraId="7E696D48">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0" w:firstLineChars="200"/>
        <w:textAlignment w:val="auto"/>
        <w:rPr>
          <w:rFonts w:ascii="Calibri" w:cs="Times New Roman"/>
          <w:kern w:val="2"/>
          <w:sz w:val="21"/>
          <w:szCs w:val="21"/>
        </w:rPr>
      </w:pPr>
      <w:r>
        <w:rPr>
          <w:rFonts w:hint="eastAsia" w:ascii="Calibri" w:cs="Times New Roman"/>
          <w:kern w:val="2"/>
          <w:sz w:val="21"/>
          <w:szCs w:val="21"/>
        </w:rPr>
        <w:t>3）多组独立样本的比较的Kruskal-Wallis检验的基本思想。</w:t>
      </w:r>
    </w:p>
    <w:p w14:paraId="2F9909E6">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2" w:firstLineChars="200"/>
        <w:textAlignment w:val="auto"/>
        <w:rPr>
          <w:rFonts w:ascii="Calibri" w:cs="Times New Roman"/>
          <w:b/>
          <w:bCs/>
          <w:kern w:val="2"/>
          <w:sz w:val="21"/>
          <w:szCs w:val="21"/>
        </w:rPr>
      </w:pPr>
      <w:r>
        <w:rPr>
          <w:rFonts w:ascii="Calibri" w:cs="Times New Roman"/>
          <w:b/>
          <w:bCs/>
          <w:kern w:val="2"/>
          <w:sz w:val="21"/>
          <w:szCs w:val="21"/>
        </w:rPr>
        <w:t>5.</w:t>
      </w:r>
      <w:r>
        <w:rPr>
          <w:rFonts w:hint="eastAsia" w:ascii="Calibri" w:cs="Times New Roman"/>
          <w:b/>
          <w:bCs/>
          <w:kern w:val="2"/>
          <w:sz w:val="21"/>
          <w:szCs w:val="21"/>
        </w:rPr>
        <w:t>直线相关与回归推断</w:t>
      </w:r>
    </w:p>
    <w:p w14:paraId="50327FC6">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0" w:firstLineChars="200"/>
        <w:textAlignment w:val="auto"/>
        <w:rPr>
          <w:rFonts w:ascii="Calibri" w:cs="Times New Roman"/>
          <w:kern w:val="2"/>
          <w:sz w:val="21"/>
          <w:szCs w:val="21"/>
        </w:rPr>
      </w:pPr>
      <w:r>
        <w:rPr>
          <w:rFonts w:hint="eastAsia" w:ascii="Calibri" w:cs="Times New Roman"/>
          <w:kern w:val="2"/>
          <w:sz w:val="21"/>
          <w:szCs w:val="21"/>
        </w:rPr>
        <w:t>1）直线相关系数的含义，直线相关分析的应用条件；</w:t>
      </w:r>
    </w:p>
    <w:p w14:paraId="16471A6B">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0" w:firstLineChars="200"/>
        <w:textAlignment w:val="auto"/>
        <w:rPr>
          <w:rFonts w:ascii="Calibri" w:cs="Times New Roman"/>
          <w:kern w:val="2"/>
          <w:sz w:val="21"/>
          <w:szCs w:val="21"/>
        </w:rPr>
      </w:pPr>
      <w:r>
        <w:rPr>
          <w:rFonts w:hint="eastAsia" w:ascii="Calibri" w:cs="Times New Roman"/>
          <w:kern w:val="2"/>
          <w:sz w:val="21"/>
          <w:szCs w:val="21"/>
        </w:rPr>
        <w:t>2）直线回归模型，直线回归系数的含义及其假设检验，直线回归模型的应用条件。</w:t>
      </w:r>
    </w:p>
    <w:p w14:paraId="6B8531BC">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2" w:firstLineChars="200"/>
        <w:textAlignment w:val="auto"/>
        <w:rPr>
          <w:rFonts w:ascii="Calibri" w:cs="Times New Roman"/>
          <w:b/>
          <w:bCs/>
          <w:kern w:val="2"/>
          <w:sz w:val="21"/>
          <w:szCs w:val="21"/>
        </w:rPr>
      </w:pPr>
      <w:r>
        <w:rPr>
          <w:rFonts w:ascii="Calibri" w:cs="Times New Roman"/>
          <w:b/>
          <w:bCs/>
          <w:kern w:val="2"/>
          <w:sz w:val="21"/>
          <w:szCs w:val="21"/>
        </w:rPr>
        <w:t xml:space="preserve">6. </w:t>
      </w:r>
      <w:r>
        <w:rPr>
          <w:rFonts w:hint="eastAsia" w:ascii="Calibri" w:cs="Times New Roman"/>
          <w:b/>
          <w:bCs/>
          <w:kern w:val="2"/>
          <w:sz w:val="21"/>
          <w:szCs w:val="21"/>
        </w:rPr>
        <w:t>多重回归分析</w:t>
      </w:r>
    </w:p>
    <w:p w14:paraId="6F47CE42">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0" w:firstLineChars="200"/>
        <w:textAlignment w:val="auto"/>
        <w:rPr>
          <w:rFonts w:ascii="Calibri" w:cs="Times New Roman"/>
          <w:kern w:val="2"/>
          <w:sz w:val="21"/>
          <w:szCs w:val="21"/>
        </w:rPr>
      </w:pPr>
      <w:r>
        <w:rPr>
          <w:rFonts w:hint="eastAsia" w:ascii="Calibri" w:cs="Times New Roman"/>
          <w:kern w:val="2"/>
          <w:sz w:val="21"/>
          <w:szCs w:val="21"/>
        </w:rPr>
        <w:t>1）多重线性回归概念和基本思想，多重线性回归模型的参数及其参数估计及假设检验，解释变量的筛选，多重线性回归模型的用途及注意事项；</w:t>
      </w:r>
    </w:p>
    <w:p w14:paraId="444161B7">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0" w:firstLineChars="200"/>
        <w:textAlignment w:val="auto"/>
        <w:rPr>
          <w:rFonts w:ascii="Calibri" w:cs="Times New Roman"/>
          <w:kern w:val="2"/>
          <w:sz w:val="21"/>
          <w:szCs w:val="21"/>
        </w:rPr>
      </w:pPr>
      <w:r>
        <w:rPr>
          <w:rFonts w:hint="eastAsia" w:ascii="Calibri" w:cs="Times New Roman"/>
          <w:kern w:val="2"/>
          <w:sz w:val="21"/>
          <w:szCs w:val="21"/>
        </w:rPr>
        <w:t>2）logistic回归模型概念和基本形式，logistic回归系数的流行病学意义，logistic回归模型的用途和应用注意事项。</w:t>
      </w:r>
    </w:p>
    <w:p w14:paraId="434F1DE2">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2" w:firstLineChars="200"/>
        <w:textAlignment w:val="auto"/>
        <w:rPr>
          <w:rFonts w:ascii="Calibri" w:cs="Times New Roman"/>
          <w:b/>
          <w:bCs/>
          <w:kern w:val="2"/>
          <w:sz w:val="21"/>
          <w:szCs w:val="21"/>
        </w:rPr>
      </w:pPr>
      <w:r>
        <w:rPr>
          <w:rFonts w:hint="eastAsia" w:ascii="Calibri" w:cs="Times New Roman"/>
          <w:b/>
          <w:bCs/>
          <w:kern w:val="2"/>
          <w:sz w:val="21"/>
          <w:szCs w:val="21"/>
        </w:rPr>
        <w:t>（四）统计设计与常用指标</w:t>
      </w:r>
    </w:p>
    <w:p w14:paraId="56CC0A74">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2" w:firstLineChars="200"/>
        <w:textAlignment w:val="auto"/>
        <w:rPr>
          <w:rFonts w:ascii="Calibri" w:cs="Times New Roman"/>
          <w:b/>
          <w:bCs/>
          <w:kern w:val="2"/>
          <w:sz w:val="21"/>
          <w:szCs w:val="21"/>
        </w:rPr>
      </w:pPr>
      <w:r>
        <w:rPr>
          <w:rFonts w:ascii="Calibri" w:cs="Times New Roman"/>
          <w:b/>
          <w:bCs/>
          <w:kern w:val="2"/>
          <w:sz w:val="21"/>
          <w:szCs w:val="21"/>
        </w:rPr>
        <w:t xml:space="preserve">1. </w:t>
      </w:r>
      <w:r>
        <w:rPr>
          <w:rFonts w:hint="eastAsia" w:ascii="Calibri" w:cs="Times New Roman"/>
          <w:b/>
          <w:bCs/>
          <w:kern w:val="2"/>
          <w:sz w:val="21"/>
          <w:szCs w:val="21"/>
        </w:rPr>
        <w:t>调查研究设计</w:t>
      </w:r>
    </w:p>
    <w:p w14:paraId="3BC3497A">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0" w:firstLineChars="200"/>
        <w:textAlignment w:val="auto"/>
        <w:rPr>
          <w:rFonts w:ascii="Calibri" w:cs="Times New Roman"/>
          <w:kern w:val="2"/>
          <w:sz w:val="21"/>
          <w:szCs w:val="21"/>
        </w:rPr>
      </w:pPr>
      <w:r>
        <w:rPr>
          <w:rFonts w:hint="eastAsia" w:ascii="Calibri" w:cs="Times New Roman"/>
          <w:kern w:val="2"/>
          <w:sz w:val="21"/>
          <w:szCs w:val="21"/>
        </w:rPr>
        <w:t>1）抽样概念及分类；调查方式；调查表的概念及构成，调查表设计的步骤；</w:t>
      </w:r>
    </w:p>
    <w:p w14:paraId="081B6B21">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0" w:firstLineChars="200"/>
        <w:textAlignment w:val="auto"/>
        <w:rPr>
          <w:rFonts w:ascii="Calibri" w:cs="Times New Roman"/>
          <w:kern w:val="2"/>
          <w:sz w:val="21"/>
          <w:szCs w:val="21"/>
        </w:rPr>
      </w:pPr>
      <w:r>
        <w:rPr>
          <w:rFonts w:hint="eastAsia" w:ascii="Calibri" w:cs="Times New Roman"/>
          <w:kern w:val="2"/>
          <w:sz w:val="21"/>
          <w:szCs w:val="21"/>
        </w:rPr>
        <w:t>2）几种基本概率抽样方法的概念及优缺点，样本量估计方法；</w:t>
      </w:r>
    </w:p>
    <w:p w14:paraId="1ED93D4B">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0" w:firstLineChars="200"/>
        <w:textAlignment w:val="auto"/>
        <w:rPr>
          <w:rFonts w:ascii="Calibri" w:cs="Times New Roman"/>
          <w:kern w:val="2"/>
          <w:sz w:val="21"/>
          <w:szCs w:val="21"/>
        </w:rPr>
      </w:pPr>
      <w:r>
        <w:rPr>
          <w:rFonts w:hint="eastAsia" w:ascii="Calibri" w:cs="Times New Roman"/>
          <w:kern w:val="2"/>
          <w:sz w:val="21"/>
          <w:szCs w:val="21"/>
        </w:rPr>
        <w:t>3）常用的非概率抽样方法的概念及应用；</w:t>
      </w:r>
    </w:p>
    <w:p w14:paraId="3AB5C5E7">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0" w:firstLineChars="200"/>
        <w:textAlignment w:val="auto"/>
        <w:rPr>
          <w:rFonts w:ascii="Calibri" w:cs="Times New Roman"/>
          <w:kern w:val="2"/>
          <w:sz w:val="21"/>
          <w:szCs w:val="21"/>
        </w:rPr>
      </w:pPr>
      <w:r>
        <w:rPr>
          <w:rFonts w:hint="eastAsia" w:ascii="Calibri" w:cs="Times New Roman"/>
          <w:kern w:val="2"/>
          <w:sz w:val="21"/>
          <w:szCs w:val="21"/>
        </w:rPr>
        <w:t>4）信度和效度的相关概念及其评价。</w:t>
      </w:r>
    </w:p>
    <w:p w14:paraId="0DC4B209">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2" w:firstLineChars="200"/>
        <w:textAlignment w:val="auto"/>
        <w:rPr>
          <w:rFonts w:ascii="Calibri" w:cs="Times New Roman"/>
          <w:b/>
          <w:bCs/>
          <w:kern w:val="2"/>
          <w:sz w:val="21"/>
          <w:szCs w:val="21"/>
        </w:rPr>
      </w:pPr>
      <w:r>
        <w:rPr>
          <w:rFonts w:ascii="Calibri" w:cs="Times New Roman"/>
          <w:b/>
          <w:bCs/>
          <w:kern w:val="2"/>
          <w:sz w:val="21"/>
          <w:szCs w:val="21"/>
        </w:rPr>
        <w:t>2.</w:t>
      </w:r>
      <w:r>
        <w:rPr>
          <w:b/>
          <w:bCs/>
          <w:kern w:val="2"/>
          <w:sz w:val="21"/>
          <w:szCs w:val="21"/>
        </w:rPr>
        <w:t xml:space="preserve"> </w:t>
      </w:r>
      <w:r>
        <w:rPr>
          <w:rFonts w:hint="eastAsia" w:ascii="Calibri" w:cs="Times New Roman"/>
          <w:b/>
          <w:bCs/>
          <w:kern w:val="2"/>
          <w:sz w:val="21"/>
          <w:szCs w:val="21"/>
        </w:rPr>
        <w:t>实验设计的基本原则，常用的几种实验设计类型。</w:t>
      </w:r>
    </w:p>
    <w:p w14:paraId="0EFD4690">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2" w:firstLineChars="200"/>
        <w:textAlignment w:val="auto"/>
        <w:rPr>
          <w:rFonts w:ascii="Calibri" w:cs="Times New Roman"/>
          <w:b/>
          <w:bCs/>
          <w:kern w:val="2"/>
          <w:sz w:val="21"/>
          <w:szCs w:val="21"/>
        </w:rPr>
      </w:pPr>
      <w:r>
        <w:rPr>
          <w:rFonts w:ascii="Calibri" w:cs="Times New Roman"/>
          <w:b/>
          <w:bCs/>
          <w:kern w:val="2"/>
          <w:sz w:val="21"/>
          <w:szCs w:val="21"/>
        </w:rPr>
        <w:t xml:space="preserve">3. </w:t>
      </w:r>
      <w:r>
        <w:rPr>
          <w:rFonts w:hint="eastAsia" w:ascii="Calibri" w:cs="Times New Roman"/>
          <w:b/>
          <w:bCs/>
          <w:kern w:val="2"/>
          <w:sz w:val="21"/>
          <w:szCs w:val="21"/>
        </w:rPr>
        <w:t>动态数列及其分析指标：</w:t>
      </w:r>
      <w:r>
        <w:rPr>
          <w:rFonts w:ascii="Calibri" w:cs="Times New Roman"/>
          <w:b/>
          <w:bCs/>
          <w:kern w:val="2"/>
          <w:sz w:val="21"/>
          <w:szCs w:val="21"/>
        </w:rPr>
        <w:t xml:space="preserve"> </w:t>
      </w:r>
      <w:r>
        <w:rPr>
          <w:rFonts w:hint="eastAsia" w:ascii="Calibri" w:cs="Times New Roman"/>
          <w:b/>
          <w:bCs/>
          <w:kern w:val="2"/>
          <w:sz w:val="21"/>
          <w:szCs w:val="21"/>
        </w:rPr>
        <w:t>动态数列常用的分析指标及其应用。</w:t>
      </w:r>
    </w:p>
    <w:p w14:paraId="7BBBCCA4">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2" w:firstLineChars="200"/>
        <w:textAlignment w:val="auto"/>
        <w:rPr>
          <w:rFonts w:ascii="Calibri" w:cs="Times New Roman"/>
          <w:b/>
          <w:bCs/>
          <w:kern w:val="2"/>
          <w:sz w:val="21"/>
          <w:szCs w:val="21"/>
        </w:rPr>
      </w:pPr>
      <w:r>
        <w:rPr>
          <w:rFonts w:ascii="Calibri" w:cs="Times New Roman"/>
          <w:b/>
          <w:bCs/>
          <w:kern w:val="2"/>
          <w:sz w:val="21"/>
          <w:szCs w:val="21"/>
        </w:rPr>
        <w:t xml:space="preserve">4. </w:t>
      </w:r>
      <w:r>
        <w:rPr>
          <w:rFonts w:hint="eastAsia" w:ascii="Calibri" w:cs="Times New Roman"/>
          <w:b/>
          <w:bCs/>
          <w:kern w:val="2"/>
          <w:sz w:val="21"/>
          <w:szCs w:val="21"/>
        </w:rPr>
        <w:t>标准化法：基本思想及其意义、标准化率的计算方法。</w:t>
      </w:r>
    </w:p>
    <w:p w14:paraId="5A4E28B6">
      <w:pPr>
        <w:keepNext w:val="0"/>
        <w:keepLines w:val="0"/>
        <w:pageBreakBefore w:val="0"/>
        <w:kinsoku/>
        <w:wordWrap/>
        <w:overflowPunct/>
        <w:topLinePunct w:val="0"/>
        <w:autoSpaceDN/>
        <w:bidi w:val="0"/>
        <w:adjustRightInd/>
        <w:snapToGrid/>
        <w:spacing w:beforeAutospacing="0" w:afterAutospacing="0" w:line="500" w:lineRule="exact"/>
        <w:textAlignment w:val="auto"/>
      </w:pPr>
    </w:p>
    <w:p w14:paraId="1FB57D90">
      <w:pPr>
        <w:keepNext w:val="0"/>
        <w:keepLines w:val="0"/>
        <w:pageBreakBefore w:val="0"/>
        <w:tabs>
          <w:tab w:val="left" w:pos="3225"/>
        </w:tabs>
        <w:kinsoku/>
        <w:wordWrap/>
        <w:overflowPunct/>
        <w:topLinePunct w:val="0"/>
        <w:autoSpaceDN/>
        <w:bidi w:val="0"/>
        <w:adjustRightInd/>
        <w:snapToGrid/>
        <w:spacing w:beforeAutospacing="0" w:afterAutospacing="0" w:line="500" w:lineRule="exact"/>
        <w:textAlignment w:val="auto"/>
        <w:rPr>
          <w:rFonts w:ascii="Calibri"/>
          <w:szCs w:val="21"/>
        </w:rPr>
      </w:pPr>
    </w:p>
    <w:p w14:paraId="0CFE7B5E">
      <w:pPr>
        <w:pStyle w:val="5"/>
        <w:keepNext w:val="0"/>
        <w:keepLines w:val="0"/>
        <w:pageBreakBefore w:val="0"/>
        <w:kinsoku/>
        <w:wordWrap/>
        <w:overflowPunct/>
        <w:topLinePunct w:val="0"/>
        <w:autoSpaceDN/>
        <w:bidi w:val="0"/>
        <w:adjustRightInd/>
        <w:snapToGrid/>
        <w:spacing w:before="0" w:beforeAutospacing="0" w:after="0" w:afterAutospacing="0" w:line="500" w:lineRule="exact"/>
        <w:ind w:firstLine="420" w:firstLineChars="200"/>
        <w:textAlignment w:val="auto"/>
        <w:rPr>
          <w:rFonts w:ascii="Calibri" w:cs="Times New Roman"/>
          <w:kern w:val="2"/>
          <w:sz w:val="21"/>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7F01D"/>
    <w:multiLevelType w:val="singleLevel"/>
    <w:tmpl w:val="8CE7F01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MDIxODJkMTFhYjZhYmQ3ZmIxOTQwMzM3ZjcxMjQifQ=="/>
  </w:docVars>
  <w:rsids>
    <w:rsidRoot w:val="00441A9B"/>
    <w:rsid w:val="000014AC"/>
    <w:rsid w:val="00006F0F"/>
    <w:rsid w:val="00013DF5"/>
    <w:rsid w:val="00015210"/>
    <w:rsid w:val="00023443"/>
    <w:rsid w:val="00046679"/>
    <w:rsid w:val="000802E9"/>
    <w:rsid w:val="0009708C"/>
    <w:rsid w:val="000A6CA4"/>
    <w:rsid w:val="000A6CF4"/>
    <w:rsid w:val="000B4CAB"/>
    <w:rsid w:val="000B531C"/>
    <w:rsid w:val="000C2029"/>
    <w:rsid w:val="000E08C0"/>
    <w:rsid w:val="000E0A39"/>
    <w:rsid w:val="000E155D"/>
    <w:rsid w:val="000E1CEF"/>
    <w:rsid w:val="000F1A4C"/>
    <w:rsid w:val="000F5FE8"/>
    <w:rsid w:val="000F6728"/>
    <w:rsid w:val="00100C05"/>
    <w:rsid w:val="00107680"/>
    <w:rsid w:val="001146FD"/>
    <w:rsid w:val="00125F85"/>
    <w:rsid w:val="001373A1"/>
    <w:rsid w:val="00142160"/>
    <w:rsid w:val="00144573"/>
    <w:rsid w:val="001527BC"/>
    <w:rsid w:val="00164014"/>
    <w:rsid w:val="00173948"/>
    <w:rsid w:val="00181FAD"/>
    <w:rsid w:val="00192C58"/>
    <w:rsid w:val="00193FBF"/>
    <w:rsid w:val="001A3DE7"/>
    <w:rsid w:val="001B60E5"/>
    <w:rsid w:val="001C47F9"/>
    <w:rsid w:val="001C5F3E"/>
    <w:rsid w:val="001D19FE"/>
    <w:rsid w:val="001D6E7A"/>
    <w:rsid w:val="001E7C6B"/>
    <w:rsid w:val="001F2503"/>
    <w:rsid w:val="002214CB"/>
    <w:rsid w:val="00226942"/>
    <w:rsid w:val="00230475"/>
    <w:rsid w:val="0023193B"/>
    <w:rsid w:val="0023568D"/>
    <w:rsid w:val="00245821"/>
    <w:rsid w:val="002477D0"/>
    <w:rsid w:val="002510EB"/>
    <w:rsid w:val="002623F1"/>
    <w:rsid w:val="00273770"/>
    <w:rsid w:val="002752DC"/>
    <w:rsid w:val="00281595"/>
    <w:rsid w:val="00286A92"/>
    <w:rsid w:val="002C4EEB"/>
    <w:rsid w:val="002D230B"/>
    <w:rsid w:val="002D4115"/>
    <w:rsid w:val="002D496B"/>
    <w:rsid w:val="002E3640"/>
    <w:rsid w:val="002E3D89"/>
    <w:rsid w:val="002F48DE"/>
    <w:rsid w:val="002F49B0"/>
    <w:rsid w:val="00314732"/>
    <w:rsid w:val="00345D0E"/>
    <w:rsid w:val="003503A7"/>
    <w:rsid w:val="00355EE7"/>
    <w:rsid w:val="003566E6"/>
    <w:rsid w:val="00377216"/>
    <w:rsid w:val="00394244"/>
    <w:rsid w:val="00395E00"/>
    <w:rsid w:val="003C18C5"/>
    <w:rsid w:val="003C26D1"/>
    <w:rsid w:val="003C5C60"/>
    <w:rsid w:val="003C5DAA"/>
    <w:rsid w:val="003D7538"/>
    <w:rsid w:val="003E3072"/>
    <w:rsid w:val="003E3B2D"/>
    <w:rsid w:val="003E49E5"/>
    <w:rsid w:val="003E55C6"/>
    <w:rsid w:val="003E7DEA"/>
    <w:rsid w:val="003F0CB0"/>
    <w:rsid w:val="003F57E8"/>
    <w:rsid w:val="0040117F"/>
    <w:rsid w:val="00401D6E"/>
    <w:rsid w:val="00406471"/>
    <w:rsid w:val="00406901"/>
    <w:rsid w:val="00406A0D"/>
    <w:rsid w:val="00407E69"/>
    <w:rsid w:val="004115BE"/>
    <w:rsid w:val="00417FC2"/>
    <w:rsid w:val="00421145"/>
    <w:rsid w:val="00441A9B"/>
    <w:rsid w:val="00476560"/>
    <w:rsid w:val="00482D65"/>
    <w:rsid w:val="00482E51"/>
    <w:rsid w:val="004915D8"/>
    <w:rsid w:val="0049611F"/>
    <w:rsid w:val="004A0DCF"/>
    <w:rsid w:val="004A1875"/>
    <w:rsid w:val="004C0E7D"/>
    <w:rsid w:val="004C54BB"/>
    <w:rsid w:val="004D0A04"/>
    <w:rsid w:val="004D750B"/>
    <w:rsid w:val="004E08D4"/>
    <w:rsid w:val="004E6458"/>
    <w:rsid w:val="004F0406"/>
    <w:rsid w:val="004F0ECA"/>
    <w:rsid w:val="00515D76"/>
    <w:rsid w:val="00516972"/>
    <w:rsid w:val="00523A34"/>
    <w:rsid w:val="0052683A"/>
    <w:rsid w:val="005414CF"/>
    <w:rsid w:val="00542C66"/>
    <w:rsid w:val="00553838"/>
    <w:rsid w:val="00553E94"/>
    <w:rsid w:val="00560A5C"/>
    <w:rsid w:val="0056403C"/>
    <w:rsid w:val="00571E4E"/>
    <w:rsid w:val="00576315"/>
    <w:rsid w:val="00576CDB"/>
    <w:rsid w:val="005874B2"/>
    <w:rsid w:val="005A63C7"/>
    <w:rsid w:val="005E39E0"/>
    <w:rsid w:val="005F5B11"/>
    <w:rsid w:val="0060593C"/>
    <w:rsid w:val="00606173"/>
    <w:rsid w:val="0062039B"/>
    <w:rsid w:val="0062154D"/>
    <w:rsid w:val="0064164F"/>
    <w:rsid w:val="0064592A"/>
    <w:rsid w:val="00652F48"/>
    <w:rsid w:val="00663D15"/>
    <w:rsid w:val="0068330E"/>
    <w:rsid w:val="0068607E"/>
    <w:rsid w:val="00686088"/>
    <w:rsid w:val="006D0488"/>
    <w:rsid w:val="006E369D"/>
    <w:rsid w:val="006E4C7D"/>
    <w:rsid w:val="006F304D"/>
    <w:rsid w:val="006F7643"/>
    <w:rsid w:val="00700251"/>
    <w:rsid w:val="00701EC6"/>
    <w:rsid w:val="007021C2"/>
    <w:rsid w:val="007032F1"/>
    <w:rsid w:val="00720386"/>
    <w:rsid w:val="00726C1D"/>
    <w:rsid w:val="00751C93"/>
    <w:rsid w:val="00752F0C"/>
    <w:rsid w:val="00756EB8"/>
    <w:rsid w:val="00772C77"/>
    <w:rsid w:val="0079277D"/>
    <w:rsid w:val="007A114A"/>
    <w:rsid w:val="007B34FD"/>
    <w:rsid w:val="007B3C36"/>
    <w:rsid w:val="007B5B2E"/>
    <w:rsid w:val="007B5DE0"/>
    <w:rsid w:val="007B6BF7"/>
    <w:rsid w:val="007C3CC0"/>
    <w:rsid w:val="007E101A"/>
    <w:rsid w:val="007F77E8"/>
    <w:rsid w:val="00806C17"/>
    <w:rsid w:val="00817D3D"/>
    <w:rsid w:val="00831F48"/>
    <w:rsid w:val="0083658A"/>
    <w:rsid w:val="0084617D"/>
    <w:rsid w:val="008742BA"/>
    <w:rsid w:val="008802AD"/>
    <w:rsid w:val="008833AB"/>
    <w:rsid w:val="008B0854"/>
    <w:rsid w:val="008C66CB"/>
    <w:rsid w:val="008D3C68"/>
    <w:rsid w:val="008E0628"/>
    <w:rsid w:val="008F0041"/>
    <w:rsid w:val="00902DD4"/>
    <w:rsid w:val="00927E35"/>
    <w:rsid w:val="00934C19"/>
    <w:rsid w:val="00996018"/>
    <w:rsid w:val="009A7768"/>
    <w:rsid w:val="009B2078"/>
    <w:rsid w:val="009C4A8E"/>
    <w:rsid w:val="009C51CA"/>
    <w:rsid w:val="009D1337"/>
    <w:rsid w:val="009E16B0"/>
    <w:rsid w:val="009E383C"/>
    <w:rsid w:val="009E413E"/>
    <w:rsid w:val="00A14AED"/>
    <w:rsid w:val="00A14DF6"/>
    <w:rsid w:val="00A2269F"/>
    <w:rsid w:val="00A378BE"/>
    <w:rsid w:val="00A4112B"/>
    <w:rsid w:val="00A45769"/>
    <w:rsid w:val="00A51041"/>
    <w:rsid w:val="00A52162"/>
    <w:rsid w:val="00A52D75"/>
    <w:rsid w:val="00A53889"/>
    <w:rsid w:val="00A75591"/>
    <w:rsid w:val="00A90699"/>
    <w:rsid w:val="00A94490"/>
    <w:rsid w:val="00AA6B2A"/>
    <w:rsid w:val="00AC431E"/>
    <w:rsid w:val="00AC5C14"/>
    <w:rsid w:val="00AD1B7C"/>
    <w:rsid w:val="00AD76C4"/>
    <w:rsid w:val="00AD770B"/>
    <w:rsid w:val="00AE4DDB"/>
    <w:rsid w:val="00AF37FB"/>
    <w:rsid w:val="00B05DE2"/>
    <w:rsid w:val="00B07264"/>
    <w:rsid w:val="00B1265D"/>
    <w:rsid w:val="00B134FC"/>
    <w:rsid w:val="00B158D7"/>
    <w:rsid w:val="00B33C92"/>
    <w:rsid w:val="00B4022A"/>
    <w:rsid w:val="00B505C7"/>
    <w:rsid w:val="00B508F8"/>
    <w:rsid w:val="00B65FF9"/>
    <w:rsid w:val="00B75C42"/>
    <w:rsid w:val="00B86E04"/>
    <w:rsid w:val="00B9660A"/>
    <w:rsid w:val="00BC468B"/>
    <w:rsid w:val="00BE01F1"/>
    <w:rsid w:val="00BF0489"/>
    <w:rsid w:val="00BF564D"/>
    <w:rsid w:val="00BF6962"/>
    <w:rsid w:val="00C11733"/>
    <w:rsid w:val="00C17035"/>
    <w:rsid w:val="00C21299"/>
    <w:rsid w:val="00C248F1"/>
    <w:rsid w:val="00C31CBC"/>
    <w:rsid w:val="00C40439"/>
    <w:rsid w:val="00C433BB"/>
    <w:rsid w:val="00C43D5F"/>
    <w:rsid w:val="00C45412"/>
    <w:rsid w:val="00C713A4"/>
    <w:rsid w:val="00C7150E"/>
    <w:rsid w:val="00C85F2C"/>
    <w:rsid w:val="00C85F5E"/>
    <w:rsid w:val="00C87A8C"/>
    <w:rsid w:val="00CA54CD"/>
    <w:rsid w:val="00CB5378"/>
    <w:rsid w:val="00CB549B"/>
    <w:rsid w:val="00CC1C36"/>
    <w:rsid w:val="00CC64BA"/>
    <w:rsid w:val="00CD0559"/>
    <w:rsid w:val="00CD6C2A"/>
    <w:rsid w:val="00CE5AB3"/>
    <w:rsid w:val="00D01279"/>
    <w:rsid w:val="00D05C2A"/>
    <w:rsid w:val="00D05FDE"/>
    <w:rsid w:val="00D2544D"/>
    <w:rsid w:val="00D36A74"/>
    <w:rsid w:val="00D410B3"/>
    <w:rsid w:val="00D420B9"/>
    <w:rsid w:val="00D50F97"/>
    <w:rsid w:val="00D56FE0"/>
    <w:rsid w:val="00D825E3"/>
    <w:rsid w:val="00D93B36"/>
    <w:rsid w:val="00DA678C"/>
    <w:rsid w:val="00DB275F"/>
    <w:rsid w:val="00DC10F5"/>
    <w:rsid w:val="00DC2002"/>
    <w:rsid w:val="00DE0A97"/>
    <w:rsid w:val="00DE6009"/>
    <w:rsid w:val="00DF1AA1"/>
    <w:rsid w:val="00DF2F1C"/>
    <w:rsid w:val="00E122A5"/>
    <w:rsid w:val="00E22A93"/>
    <w:rsid w:val="00E250E7"/>
    <w:rsid w:val="00E658CE"/>
    <w:rsid w:val="00E725B3"/>
    <w:rsid w:val="00EA2C94"/>
    <w:rsid w:val="00EA34F2"/>
    <w:rsid w:val="00EA6195"/>
    <w:rsid w:val="00EC4765"/>
    <w:rsid w:val="00EC5B1C"/>
    <w:rsid w:val="00EE5C6A"/>
    <w:rsid w:val="00F06A93"/>
    <w:rsid w:val="00F10995"/>
    <w:rsid w:val="00F4039F"/>
    <w:rsid w:val="00F61E1A"/>
    <w:rsid w:val="00F66AA6"/>
    <w:rsid w:val="00F67F14"/>
    <w:rsid w:val="00F72EB9"/>
    <w:rsid w:val="00F831F3"/>
    <w:rsid w:val="00F94A47"/>
    <w:rsid w:val="00F96C4C"/>
    <w:rsid w:val="00F96F41"/>
    <w:rsid w:val="00FA04F8"/>
    <w:rsid w:val="00FA404B"/>
    <w:rsid w:val="00FA4366"/>
    <w:rsid w:val="00FA51E4"/>
    <w:rsid w:val="00FB15CB"/>
    <w:rsid w:val="00FB2B78"/>
    <w:rsid w:val="00FB3269"/>
    <w:rsid w:val="00FB6DB0"/>
    <w:rsid w:val="00FB74AA"/>
    <w:rsid w:val="00FC32C1"/>
    <w:rsid w:val="00FC3FCF"/>
    <w:rsid w:val="00FD0482"/>
    <w:rsid w:val="00FE52AE"/>
    <w:rsid w:val="00FE54A5"/>
    <w:rsid w:val="00FF1277"/>
    <w:rsid w:val="00FF2122"/>
    <w:rsid w:val="00FF3759"/>
    <w:rsid w:val="00FF41C7"/>
    <w:rsid w:val="00FF67F3"/>
    <w:rsid w:val="00FF79AC"/>
    <w:rsid w:val="1A244FB6"/>
    <w:rsid w:val="33E55D8C"/>
    <w:rsid w:val="3B9371AD"/>
    <w:rsid w:val="60522285"/>
    <w:rsid w:val="6477675E"/>
    <w:rsid w:val="6A464801"/>
    <w:rsid w:val="6CA85682"/>
    <w:rsid w:val="6F5965F0"/>
    <w:rsid w:val="736D8FF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7">
    <w:name w:val="Default Paragraph Font"/>
    <w:unhideWhenUsed/>
    <w:uiPriority w:val="1"/>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Balloon Text"/>
    <w:basedOn w:val="1"/>
    <w:link w:val="8"/>
    <w:unhideWhenUsed/>
    <w:uiPriority w:val="99"/>
    <w:rPr>
      <w:sz w:val="18"/>
      <w:szCs w:val="18"/>
    </w:rPr>
  </w:style>
  <w:style w:type="paragraph" w:styleId="3">
    <w:name w:val="footer"/>
    <w:basedOn w:val="1"/>
    <w:link w:val="9"/>
    <w:semiHidden/>
    <w:uiPriority w:val="99"/>
    <w:pPr>
      <w:tabs>
        <w:tab w:val="center" w:pos="4153"/>
        <w:tab w:val="right" w:pos="8306"/>
      </w:tabs>
      <w:snapToGrid w:val="0"/>
      <w:jc w:val="left"/>
    </w:pPr>
    <w:rPr>
      <w:rFonts w:ascii="Calibri" w:hAnsi="Calibri"/>
      <w:kern w:val="0"/>
      <w:sz w:val="18"/>
      <w:szCs w:val="18"/>
    </w:rPr>
  </w:style>
  <w:style w:type="paragraph" w:styleId="4">
    <w:name w:val="header"/>
    <w:basedOn w:val="1"/>
    <w:link w:val="10"/>
    <w:semiHidden/>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customStyle="1" w:styleId="8">
    <w:name w:val="批注框文本 字符"/>
    <w:link w:val="2"/>
    <w:semiHidden/>
    <w:uiPriority w:val="99"/>
    <w:rPr>
      <w:rFonts w:ascii="Times New Roman" w:hAnsi="Times New Roman"/>
      <w:kern w:val="2"/>
      <w:sz w:val="18"/>
      <w:szCs w:val="18"/>
    </w:rPr>
  </w:style>
  <w:style w:type="character" w:customStyle="1" w:styleId="9">
    <w:name w:val="页脚 字符"/>
    <w:link w:val="3"/>
    <w:semiHidden/>
    <w:locked/>
    <w:uiPriority w:val="99"/>
    <w:rPr>
      <w:rFonts w:cs="Times New Roman"/>
      <w:sz w:val="18"/>
      <w:szCs w:val="18"/>
    </w:rPr>
  </w:style>
  <w:style w:type="character" w:customStyle="1" w:styleId="10">
    <w:name w:val="页眉 字符"/>
    <w:link w:val="4"/>
    <w:semiHidden/>
    <w:locked/>
    <w:uiPriority w:val="99"/>
    <w:rPr>
      <w:rFonts w:cs="Times New Roman"/>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1152</Words>
  <Characters>6567</Characters>
  <Lines>54</Lines>
  <Paragraphs>15</Paragraphs>
  <TotalTime>0</TotalTime>
  <ScaleCrop>false</ScaleCrop>
  <LinksUpToDate>false</LinksUpToDate>
  <CharactersWithSpaces>7704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2024-08-01T02:23:00Z</dcterms:created>
  <dc:creator>山东大学研究生招生办公室; 雨林木风</dc:creator>
  <dc:description>山东大学2011年硕士研究生入学考试自命题考试大纲</dc:description>
  <cp:keywords>2011年硕士研究生入学考试考试大纲</cp:keywords>
  <cp:lastModifiedBy>vertesyuan</cp:lastModifiedBy>
  <dcterms:modified xsi:type="dcterms:W3CDTF">2024-10-11T00:55:59Z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908AD590E01846D2B50648501EA618CE_13</vt:lpwstr>
  </property>
</Properties>
</file>