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3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/>
        <w:jc w:val="center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885</w:t>
      </w:r>
      <w:r>
        <w:rPr>
          <w:rFonts w:hint="eastAsia" w:ascii="黑体" w:eastAsia="黑体"/>
          <w:sz w:val="32"/>
          <w:szCs w:val="32"/>
          <w:lang w:val="en-US" w:eastAsia="zh-CN"/>
        </w:rPr>
        <w:t>-</w:t>
      </w:r>
      <w:r>
        <w:rPr>
          <w:rFonts w:hint="eastAsia" w:ascii="黑体" w:eastAsia="黑体"/>
          <w:sz w:val="32"/>
          <w:szCs w:val="32"/>
        </w:rPr>
        <w:t>建筑设计原理</w:t>
      </w:r>
    </w:p>
    <w:p w14:paraId="386A9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67FFE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 w:eastAsia="黑体"/>
          <w:szCs w:val="21"/>
        </w:rPr>
      </w:pPr>
      <w:r>
        <w:rPr>
          <w:rFonts w:ascii="Calibri" w:eastAsia="黑体"/>
          <w:szCs w:val="21"/>
        </w:rPr>
        <w:t>一、考试性质</w:t>
      </w:r>
    </w:p>
    <w:p w14:paraId="7FA9F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《建筑设计原理》是建筑</w:t>
      </w:r>
      <w:r>
        <w:rPr>
          <w:rFonts w:hint="eastAsia" w:ascii="Calibri" w:hAnsi="宋体"/>
          <w:szCs w:val="21"/>
        </w:rPr>
        <w:t>与城乡规划设计</w:t>
      </w:r>
      <w:r>
        <w:rPr>
          <w:rFonts w:ascii="Calibri" w:hAnsi="宋体"/>
          <w:szCs w:val="21"/>
        </w:rPr>
        <w:t>硕士学位研究生</w:t>
      </w:r>
      <w:r>
        <w:rPr>
          <w:rFonts w:hint="eastAsia" w:ascii="Calibri" w:hAnsi="宋体"/>
          <w:szCs w:val="21"/>
          <w:lang w:val="en-US" w:eastAsia="zh-CN"/>
        </w:rPr>
        <w:t>招生</w:t>
      </w:r>
      <w:r>
        <w:rPr>
          <w:rFonts w:ascii="Calibri" w:hAnsi="宋体"/>
          <w:szCs w:val="21"/>
        </w:rPr>
        <w:t>考试的科目之一。</w:t>
      </w:r>
    </w:p>
    <w:p w14:paraId="73E8B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《建筑设计原理》考试要力求反映建筑</w:t>
      </w:r>
      <w:r>
        <w:rPr>
          <w:rFonts w:hint="eastAsia" w:ascii="Calibri" w:hAnsi="宋体"/>
          <w:szCs w:val="21"/>
        </w:rPr>
        <w:t>与城乡规划设计</w:t>
      </w:r>
      <w:r>
        <w:rPr>
          <w:rFonts w:ascii="Calibri" w:hAnsi="宋体"/>
          <w:szCs w:val="21"/>
        </w:rPr>
        <w:t>硕士学位的特点，科学、公平、准确、规范地测评考生的基本素质和综合能力，以利用选拔具有发展潜力的优秀人才入学，为国家的城乡建设培养具有良好职业道德、法制观念和国际视野、具有较强分析与解决实际问题能力的高层次、应用型、复合型的建筑</w:t>
      </w:r>
      <w:r>
        <w:rPr>
          <w:rFonts w:hint="eastAsia" w:ascii="Calibri" w:hAnsi="宋体"/>
          <w:szCs w:val="21"/>
        </w:rPr>
        <w:t>与城乡规划设计</w:t>
      </w:r>
      <w:r>
        <w:rPr>
          <w:rFonts w:ascii="Calibri" w:hAnsi="宋体"/>
          <w:szCs w:val="21"/>
        </w:rPr>
        <w:t>专业人才。</w:t>
      </w:r>
    </w:p>
    <w:p w14:paraId="0CDDE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textAlignment w:val="auto"/>
        <w:rPr>
          <w:rFonts w:ascii="Calibri" w:hAnsi="Calibri"/>
          <w:szCs w:val="21"/>
        </w:rPr>
      </w:pPr>
    </w:p>
    <w:p w14:paraId="2C7D6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5E64D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测试考生对于建筑</w:t>
      </w:r>
      <w:r>
        <w:rPr>
          <w:rFonts w:hint="eastAsia" w:ascii="Calibri" w:hAnsi="宋体"/>
          <w:szCs w:val="21"/>
        </w:rPr>
        <w:t>与城乡规划</w:t>
      </w:r>
      <w:r>
        <w:rPr>
          <w:rFonts w:ascii="Calibri" w:hAnsi="宋体"/>
          <w:szCs w:val="21"/>
        </w:rPr>
        <w:t>设计原理的</w:t>
      </w:r>
      <w:r>
        <w:rPr>
          <w:rFonts w:hint="eastAsia" w:ascii="Calibri" w:hAnsi="宋体"/>
          <w:szCs w:val="21"/>
        </w:rPr>
        <w:t>相关</w:t>
      </w:r>
      <w:r>
        <w:rPr>
          <w:rFonts w:ascii="Calibri" w:hAnsi="宋体"/>
          <w:szCs w:val="21"/>
        </w:rPr>
        <w:t>基本知识</w:t>
      </w:r>
      <w:r>
        <w:rPr>
          <w:rFonts w:hint="eastAsia" w:ascii="Calibri" w:hAnsi="宋体"/>
          <w:szCs w:val="21"/>
        </w:rPr>
        <w:t>的</w:t>
      </w:r>
      <w:r>
        <w:rPr>
          <w:rFonts w:ascii="Calibri" w:hAnsi="宋体"/>
          <w:szCs w:val="21"/>
        </w:rPr>
        <w:t>掌握情况和运用能力。</w:t>
      </w:r>
    </w:p>
    <w:p w14:paraId="5A012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textAlignment w:val="auto"/>
        <w:rPr>
          <w:rFonts w:ascii="Calibri" w:hAnsi="Calibri"/>
          <w:szCs w:val="21"/>
        </w:rPr>
      </w:pPr>
    </w:p>
    <w:p w14:paraId="53A24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三、考试内容</w:t>
      </w:r>
    </w:p>
    <w:p w14:paraId="6DA5B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《建筑设计原理》考试内容包括公共建筑设计原理和城</w:t>
      </w:r>
      <w:r>
        <w:rPr>
          <w:rFonts w:hint="eastAsia" w:ascii="Calibri" w:hAnsi="宋体"/>
          <w:szCs w:val="21"/>
        </w:rPr>
        <w:t>乡</w:t>
      </w:r>
      <w:r>
        <w:rPr>
          <w:rFonts w:ascii="Calibri" w:hAnsi="宋体"/>
          <w:szCs w:val="21"/>
        </w:rPr>
        <w:t>规划原理两部分。</w:t>
      </w:r>
    </w:p>
    <w:p w14:paraId="3D22F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0" w:firstLineChars="100"/>
        <w:textAlignment w:val="auto"/>
        <w:rPr>
          <w:rFonts w:ascii="Calibri" w:hAnsi="Calibri"/>
          <w:szCs w:val="21"/>
        </w:rPr>
      </w:pPr>
    </w:p>
    <w:p w14:paraId="75DEF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1" w:firstLineChars="100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第一部分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公共建筑设计原理</w:t>
      </w:r>
    </w:p>
    <w:p w14:paraId="6965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（一）公共建筑的总体环境布局</w:t>
      </w:r>
    </w:p>
    <w:p w14:paraId="3C426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总体环境布局的基本组成</w:t>
      </w:r>
    </w:p>
    <w:p w14:paraId="7E7C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室外环境的空间与建筑</w:t>
      </w:r>
    </w:p>
    <w:p w14:paraId="1058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室外环境的空间与场所</w:t>
      </w:r>
    </w:p>
    <w:p w14:paraId="62A8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室外环境的空间与绿地</w:t>
      </w:r>
    </w:p>
    <w:p w14:paraId="12002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2．</w:t>
      </w:r>
      <w:r>
        <w:rPr>
          <w:rFonts w:ascii="Calibri" w:hAnsi="宋体"/>
          <w:szCs w:val="21"/>
        </w:rPr>
        <w:t>总体环境布局的空间与环境</w:t>
      </w:r>
    </w:p>
    <w:p w14:paraId="4CC6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利用环境的有利因素</w:t>
      </w:r>
    </w:p>
    <w:p w14:paraId="14829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依照构思意图创造环境</w:t>
      </w:r>
    </w:p>
    <w:p w14:paraId="6B43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群体建筑环境的空间组合</w:t>
      </w:r>
    </w:p>
    <w:p w14:paraId="51447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群体建筑空间组合的常见类型及特点</w:t>
      </w:r>
    </w:p>
    <w:p w14:paraId="398A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群体建筑环境空间组合的布局形式及方法</w:t>
      </w:r>
    </w:p>
    <w:p w14:paraId="6346D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（二）公共建筑的功能关系与空间组合</w:t>
      </w:r>
    </w:p>
    <w:p w14:paraId="2C99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公共建筑的空间组成</w:t>
      </w:r>
    </w:p>
    <w:p w14:paraId="516A3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公共建筑的空间类型</w:t>
      </w:r>
    </w:p>
    <w:p w14:paraId="5735E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空间组合中的水平交通</w:t>
      </w:r>
    </w:p>
    <w:p w14:paraId="57D5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空间组合中的垂直交通</w:t>
      </w:r>
    </w:p>
    <w:p w14:paraId="3320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空间组合中的交通枢纽</w:t>
      </w:r>
    </w:p>
    <w:p w14:paraId="62C2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2．</w:t>
      </w:r>
      <w:r>
        <w:rPr>
          <w:rFonts w:ascii="Calibri" w:hAnsi="宋体"/>
          <w:szCs w:val="21"/>
        </w:rPr>
        <w:t>公共建筑的功能分区</w:t>
      </w:r>
    </w:p>
    <w:p w14:paraId="64AD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公共建筑功能分区的概念</w:t>
      </w:r>
    </w:p>
    <w:p w14:paraId="3690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公共建筑功能分区的重要意义</w:t>
      </w:r>
    </w:p>
    <w:p w14:paraId="60694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公共建筑功能分区的类型与方法</w:t>
      </w:r>
    </w:p>
    <w:p w14:paraId="6737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公共建筑的人流聚集与疏散</w:t>
      </w:r>
    </w:p>
    <w:p w14:paraId="2160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公共建筑人流组织的类型及特点</w:t>
      </w:r>
    </w:p>
    <w:p w14:paraId="0C7B3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阶梯教室人流疏散的特点</w:t>
      </w:r>
    </w:p>
    <w:p w14:paraId="371E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影剧院、会堂疏散的特点</w:t>
      </w:r>
    </w:p>
    <w:p w14:paraId="19E5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体育建筑人流疏散的特点</w:t>
      </w:r>
    </w:p>
    <w:p w14:paraId="4C1F3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（三）公共建筑的造型艺术问题</w:t>
      </w:r>
    </w:p>
    <w:p w14:paraId="1BC29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公共建筑造型艺术的基本特点</w:t>
      </w:r>
    </w:p>
    <w:p w14:paraId="0E19F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公共建筑造型的基本原则</w:t>
      </w:r>
    </w:p>
    <w:p w14:paraId="5FBC9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不同类型公共建筑的造型特点</w:t>
      </w:r>
    </w:p>
    <w:p w14:paraId="5CE0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文化对公共建筑造型的影响</w:t>
      </w:r>
    </w:p>
    <w:p w14:paraId="7B873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公共建筑造型与功能的统一</w:t>
      </w:r>
    </w:p>
    <w:p w14:paraId="25EA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2．</w:t>
      </w:r>
      <w:r>
        <w:rPr>
          <w:rFonts w:ascii="Calibri" w:hAnsi="宋体"/>
          <w:szCs w:val="21"/>
        </w:rPr>
        <w:t>室内空间环境艺术</w:t>
      </w:r>
    </w:p>
    <w:p w14:paraId="0354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空间形式与尺度比例的关系</w:t>
      </w:r>
    </w:p>
    <w:p w14:paraId="46E9B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空间的围透划分和序列导向</w:t>
      </w:r>
    </w:p>
    <w:p w14:paraId="10CB8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室外空间环境艺术</w:t>
      </w:r>
    </w:p>
    <w:p w14:paraId="723D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公共建筑室外空间与内部空间的辩证统一</w:t>
      </w:r>
    </w:p>
    <w:p w14:paraId="5A84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公共建筑室外空间的形成与特点</w:t>
      </w:r>
    </w:p>
    <w:p w14:paraId="25799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公共建筑室外空间的形式美法则</w:t>
      </w:r>
    </w:p>
    <w:p w14:paraId="3FFA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公共建筑室外空间的比例与尺度</w:t>
      </w:r>
    </w:p>
    <w:p w14:paraId="4428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（四）公共建筑技术经济问题的分析</w:t>
      </w:r>
    </w:p>
    <w:p w14:paraId="17B0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公共建筑设计与结构技术</w:t>
      </w:r>
    </w:p>
    <w:p w14:paraId="1B11B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常用结构体系的分类与特点</w:t>
      </w:r>
    </w:p>
    <w:p w14:paraId="2D170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结构体系与公共建筑设计</w:t>
      </w:r>
    </w:p>
    <w:p w14:paraId="2375C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新型结构体系及其对公共建筑设计的影响</w:t>
      </w:r>
    </w:p>
    <w:p w14:paraId="0247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2．</w:t>
      </w:r>
      <w:r>
        <w:rPr>
          <w:rFonts w:ascii="Calibri" w:hAnsi="宋体"/>
          <w:szCs w:val="21"/>
        </w:rPr>
        <w:t>公共建筑与设备技术</w:t>
      </w:r>
    </w:p>
    <w:p w14:paraId="1E12A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采暖、通风、空气调节</w:t>
      </w:r>
    </w:p>
    <w:p w14:paraId="54A7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建筑电气</w:t>
      </w:r>
    </w:p>
    <w:p w14:paraId="28C93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公共建筑设计与设备技术</w:t>
      </w:r>
    </w:p>
    <w:p w14:paraId="7AE5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公共建筑的经济分析</w:t>
      </w:r>
    </w:p>
    <w:p w14:paraId="05B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公共建筑经济分析的评价体系</w:t>
      </w:r>
    </w:p>
    <w:p w14:paraId="5A07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公共建筑经济分析的常用指标</w:t>
      </w:r>
    </w:p>
    <w:p w14:paraId="5FABE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（五）空间组合的综合分析</w:t>
      </w:r>
    </w:p>
    <w:p w14:paraId="11196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分隔性的空间组合</w:t>
      </w:r>
    </w:p>
    <w:p w14:paraId="4C0BB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分隔性空间组合的概念及特点</w:t>
      </w:r>
    </w:p>
    <w:p w14:paraId="2E1B5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分隔性空间组合的分类</w:t>
      </w:r>
    </w:p>
    <w:p w14:paraId="20B7A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分隔性空间组合的实例分析</w:t>
      </w:r>
    </w:p>
    <w:p w14:paraId="180E0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2．</w:t>
      </w:r>
      <w:r>
        <w:rPr>
          <w:rFonts w:ascii="Calibri" w:hAnsi="宋体"/>
          <w:szCs w:val="21"/>
        </w:rPr>
        <w:t>连续性的空间组合</w:t>
      </w:r>
    </w:p>
    <w:p w14:paraId="6840D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串联的空间组合形式</w:t>
      </w:r>
    </w:p>
    <w:p w14:paraId="7AA37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放射的空间组合形式</w:t>
      </w:r>
    </w:p>
    <w:p w14:paraId="46E8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串联兼通道的空间组合形式</w:t>
      </w:r>
    </w:p>
    <w:p w14:paraId="454E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放射兼串联的空间组合形式</w:t>
      </w:r>
    </w:p>
    <w:p w14:paraId="5ED1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5）</w:t>
      </w:r>
      <w:r>
        <w:rPr>
          <w:rFonts w:ascii="Calibri" w:hAnsi="宋体"/>
          <w:szCs w:val="21"/>
        </w:rPr>
        <w:t>综合大厅的空间组合形式</w:t>
      </w:r>
    </w:p>
    <w:p w14:paraId="2FEB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观演性的空间组合</w:t>
      </w:r>
    </w:p>
    <w:p w14:paraId="7BEF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观演性空间组合的基本特征</w:t>
      </w:r>
    </w:p>
    <w:p w14:paraId="3079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观演性空间组合适用的建筑类型</w:t>
      </w:r>
    </w:p>
    <w:p w14:paraId="75DE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体育建筑功能关系及空间组织</w:t>
      </w:r>
    </w:p>
    <w:p w14:paraId="234C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4）</w:t>
      </w:r>
      <w:r>
        <w:rPr>
          <w:rFonts w:ascii="Calibri" w:hAnsi="宋体"/>
          <w:szCs w:val="21"/>
        </w:rPr>
        <w:t>影剧院建筑人流疏散、功能关系及空间序列</w:t>
      </w:r>
    </w:p>
    <w:p w14:paraId="4560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4．</w:t>
      </w:r>
      <w:r>
        <w:rPr>
          <w:rFonts w:ascii="Calibri" w:hAnsi="宋体"/>
          <w:szCs w:val="21"/>
        </w:rPr>
        <w:t>高层性的空间组合</w:t>
      </w:r>
    </w:p>
    <w:p w14:paraId="15BCD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高层建筑空间组合的特点</w:t>
      </w:r>
    </w:p>
    <w:p w14:paraId="1062D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不同类型高层建筑空间组合</w:t>
      </w:r>
    </w:p>
    <w:p w14:paraId="0A3F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5．</w:t>
      </w:r>
      <w:r>
        <w:rPr>
          <w:rFonts w:ascii="Calibri" w:hAnsi="宋体"/>
          <w:szCs w:val="21"/>
        </w:rPr>
        <w:t>综合性的空间组合</w:t>
      </w:r>
    </w:p>
    <w:p w14:paraId="0E4B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公共建筑类型的多样性与复杂性</w:t>
      </w:r>
    </w:p>
    <w:p w14:paraId="05E35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公共建筑设计中空间组织方式的综合运用</w:t>
      </w:r>
    </w:p>
    <w:p w14:paraId="284A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黑体" w:hAnsi="宋体" w:eastAsia="黑体"/>
          <w:szCs w:val="21"/>
        </w:rPr>
        <w:t>（六）常见建筑类型基础设计知识</w:t>
      </w:r>
    </w:p>
    <w:p w14:paraId="34B33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Calibri" w:hAnsi="宋体"/>
          <w:szCs w:val="21"/>
        </w:rPr>
        <w:t>文化建筑</w:t>
      </w:r>
    </w:p>
    <w:p w14:paraId="1539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文化建筑的类型及特点</w:t>
      </w:r>
    </w:p>
    <w:p w14:paraId="431A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文化建筑功能组成及流线组织</w:t>
      </w:r>
    </w:p>
    <w:p w14:paraId="66A9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2．</w:t>
      </w:r>
      <w:r>
        <w:rPr>
          <w:rFonts w:ascii="Calibri" w:hAnsi="宋体"/>
          <w:szCs w:val="21"/>
        </w:rPr>
        <w:t>办公建筑</w:t>
      </w:r>
    </w:p>
    <w:p w14:paraId="5185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办公建筑的类型及特点</w:t>
      </w:r>
    </w:p>
    <w:p w14:paraId="4D1C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办公建筑功能组成及流线组织</w:t>
      </w:r>
    </w:p>
    <w:p w14:paraId="0C5A9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3．</w:t>
      </w:r>
      <w:r>
        <w:rPr>
          <w:rFonts w:ascii="Calibri" w:hAnsi="宋体"/>
          <w:szCs w:val="21"/>
        </w:rPr>
        <w:t>宾馆建筑</w:t>
      </w:r>
    </w:p>
    <w:p w14:paraId="02856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宾馆建筑的类型及特点</w:t>
      </w:r>
    </w:p>
    <w:p w14:paraId="1D34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办公建筑功能组成及流线组织</w:t>
      </w:r>
    </w:p>
    <w:p w14:paraId="605E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4．</w:t>
      </w:r>
      <w:r>
        <w:rPr>
          <w:rFonts w:ascii="Calibri" w:hAnsi="宋体"/>
          <w:szCs w:val="21"/>
        </w:rPr>
        <w:t>商业建筑</w:t>
      </w:r>
    </w:p>
    <w:p w14:paraId="1D19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Calibri" w:hAnsi="宋体"/>
          <w:szCs w:val="21"/>
        </w:rPr>
        <w:t>商业建筑的空间特点</w:t>
      </w:r>
    </w:p>
    <w:p w14:paraId="1D7C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</w:t>
      </w:r>
      <w:r>
        <w:rPr>
          <w:rFonts w:ascii="Calibri" w:hAnsi="宋体"/>
          <w:szCs w:val="21"/>
        </w:rPr>
        <w:t>商业建筑功能组成</w:t>
      </w:r>
    </w:p>
    <w:p w14:paraId="4057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商业建筑流线组织</w:t>
      </w:r>
    </w:p>
    <w:p w14:paraId="40BFB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0" w:firstLineChars="100"/>
        <w:textAlignment w:val="auto"/>
        <w:rPr>
          <w:rFonts w:ascii="Calibri" w:hAnsi="Calibri"/>
          <w:szCs w:val="21"/>
        </w:rPr>
      </w:pPr>
    </w:p>
    <w:p w14:paraId="31AA1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1" w:firstLineChars="100"/>
        <w:jc w:val="center"/>
        <w:textAlignment w:val="auto"/>
        <w:rPr>
          <w:rFonts w:ascii="Calibri" w:hAnsi="Calibri"/>
          <w:b/>
          <w:szCs w:val="21"/>
        </w:rPr>
      </w:pPr>
      <w:r>
        <w:rPr>
          <w:rFonts w:ascii="Calibri" w:hAnsi="宋体"/>
          <w:b/>
          <w:szCs w:val="21"/>
        </w:rPr>
        <w:t>第二部分</w:t>
      </w:r>
      <w:r>
        <w:rPr>
          <w:rFonts w:ascii="Calibri" w:hAnsi="Calibri"/>
          <w:b/>
          <w:szCs w:val="21"/>
        </w:rPr>
        <w:t xml:space="preserve"> </w:t>
      </w:r>
      <w:r>
        <w:rPr>
          <w:rFonts w:ascii="Calibri" w:hAnsi="宋体"/>
          <w:b/>
          <w:szCs w:val="21"/>
        </w:rPr>
        <w:t>城市规划原理</w:t>
      </w:r>
    </w:p>
    <w:p w14:paraId="0ECCB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DotumChe" w:eastAsia="黑体"/>
          <w:szCs w:val="21"/>
        </w:rPr>
      </w:pPr>
      <w:r>
        <w:rPr>
          <w:rFonts w:hint="eastAsia" w:ascii="黑体" w:hAnsi="DotumChe" w:eastAsia="黑体"/>
          <w:szCs w:val="21"/>
        </w:rPr>
        <w:t>（一）城乡与城乡规划</w:t>
      </w:r>
    </w:p>
    <w:p w14:paraId="6C262A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Arial" w:hAnsi="Arial" w:cs="Arial"/>
          <w:kern w:val="0"/>
          <w:szCs w:val="21"/>
        </w:rPr>
        <w:t>城市与</w:t>
      </w:r>
      <w:r>
        <w:rPr>
          <w:rFonts w:ascii="Arial" w:hAnsi="Arial" w:cs="Arial"/>
          <w:kern w:val="0"/>
          <w:szCs w:val="21"/>
        </w:rPr>
        <w:fldChar w:fldCharType="begin"/>
      </w:r>
      <w:r>
        <w:rPr>
          <w:rFonts w:ascii="Arial" w:hAnsi="Arial" w:cs="Arial"/>
          <w:kern w:val="0"/>
          <w:szCs w:val="21"/>
        </w:rPr>
        <w:instrText xml:space="preserve"> HYPERLINK "http://baike.sogou.com/lemma/ShowInnerLink.htm?lemmaId=296606" \t "_blank" </w:instrText>
      </w:r>
      <w:r>
        <w:rPr>
          <w:rFonts w:ascii="Arial" w:hAnsi="Arial" w:cs="Arial"/>
          <w:kern w:val="0"/>
          <w:szCs w:val="21"/>
        </w:rPr>
        <w:fldChar w:fldCharType="separate"/>
      </w:r>
      <w:r>
        <w:rPr>
          <w:rFonts w:ascii="Arial" w:hAnsi="Arial" w:cs="Arial"/>
          <w:kern w:val="0"/>
          <w:szCs w:val="21"/>
        </w:rPr>
        <w:t>城镇化</w:t>
      </w:r>
      <w:r>
        <w:rPr>
          <w:rFonts w:ascii="Arial" w:hAnsi="Arial" w:cs="Arial"/>
          <w:kern w:val="0"/>
          <w:szCs w:val="21"/>
        </w:rPr>
        <w:fldChar w:fldCharType="end"/>
      </w:r>
    </w:p>
    <w:p w14:paraId="74AC24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1）城市的产生与定义</w:t>
      </w:r>
    </w:p>
    <w:p w14:paraId="58F545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2）城市的发展与城镇化</w:t>
      </w:r>
    </w:p>
    <w:p w14:paraId="159D0D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2.</w:t>
      </w:r>
      <w:r>
        <w:rPr>
          <w:rFonts w:ascii="Arial" w:hAnsi="Arial" w:cs="Arial"/>
          <w:kern w:val="0"/>
          <w:szCs w:val="21"/>
        </w:rPr>
        <w:t xml:space="preserve"> 城市规划思想发展</w:t>
      </w:r>
    </w:p>
    <w:p w14:paraId="742BB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1）古代与现代的城市规划思想</w:t>
      </w:r>
    </w:p>
    <w:p w14:paraId="36F8BC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Arial" w:hAnsi="Arial" w:cs="Arial"/>
          <w:kern w:val="0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Calibri" w:hAnsi="宋体"/>
          <w:szCs w:val="21"/>
        </w:rPr>
        <w:t>）城市规划面临的城市发展趋势与思想方法变革</w:t>
      </w:r>
    </w:p>
    <w:p w14:paraId="7AC964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3</w:t>
      </w:r>
      <w:r>
        <w:rPr>
          <w:rFonts w:hint="eastAsia" w:ascii="Arial" w:hAnsi="Arial" w:cs="Arial"/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 xml:space="preserve"> 城乡规划体制与城乡规划的价值观</w:t>
      </w:r>
    </w:p>
    <w:p w14:paraId="025A61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Calibri" w:hAnsi="宋体"/>
          <w:szCs w:val="21"/>
        </w:rPr>
        <w:t>1）</w:t>
      </w:r>
      <w:r>
        <w:rPr>
          <w:rFonts w:ascii="Arial" w:hAnsi="Arial" w:cs="Arial"/>
          <w:kern w:val="0"/>
          <w:szCs w:val="21"/>
        </w:rPr>
        <w:fldChar w:fldCharType="begin"/>
      </w:r>
      <w:r>
        <w:rPr>
          <w:rFonts w:ascii="Arial" w:hAnsi="Arial" w:cs="Arial"/>
          <w:kern w:val="0"/>
          <w:szCs w:val="21"/>
        </w:rPr>
        <w:instrText xml:space="preserve"> HYPERLINK "http://baike.sogou.com/lemma/ShowInnerLink.htm?lemmaId=8022141&amp;ss_c=ssc.citiao.link" \t "_blank" </w:instrText>
      </w:r>
      <w:r>
        <w:rPr>
          <w:rFonts w:ascii="Arial" w:hAnsi="Arial" w:cs="Arial"/>
          <w:kern w:val="0"/>
          <w:szCs w:val="21"/>
        </w:rPr>
        <w:fldChar w:fldCharType="separate"/>
      </w:r>
      <w:r>
        <w:rPr>
          <w:rFonts w:ascii="Arial" w:hAnsi="Arial" w:cs="Arial"/>
          <w:kern w:val="0"/>
          <w:szCs w:val="21"/>
        </w:rPr>
        <w:t>城乡规划</w:t>
      </w:r>
      <w:r>
        <w:rPr>
          <w:rFonts w:ascii="Arial" w:hAnsi="Arial" w:cs="Arial"/>
          <w:kern w:val="0"/>
          <w:szCs w:val="21"/>
        </w:rPr>
        <w:fldChar w:fldCharType="end"/>
      </w:r>
      <w:r>
        <w:rPr>
          <w:rFonts w:ascii="Arial" w:hAnsi="Arial" w:cs="Arial"/>
          <w:kern w:val="0"/>
          <w:szCs w:val="21"/>
        </w:rPr>
        <w:t>体制的内容框架</w:t>
      </w:r>
    </w:p>
    <w:p w14:paraId="2BB9B9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2）城乡规划的基本价值观</w:t>
      </w:r>
    </w:p>
    <w:p w14:paraId="3D935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黑体" w:hAnsi="DotumChe" w:eastAsia="黑体"/>
          <w:szCs w:val="21"/>
        </w:rPr>
      </w:pPr>
      <w:r>
        <w:rPr>
          <w:rFonts w:hint="eastAsia" w:ascii="黑体" w:hAnsi="DotumChe" w:eastAsia="黑体"/>
          <w:szCs w:val="21"/>
        </w:rPr>
        <w:t>（二）</w:t>
      </w:r>
      <w:r>
        <w:rPr>
          <w:rFonts w:ascii="黑体" w:hAnsi="DotumChe" w:eastAsia="黑体"/>
          <w:szCs w:val="21"/>
        </w:rPr>
        <w:t>城乡规划的影响要素及其分析方法</w:t>
      </w:r>
    </w:p>
    <w:p w14:paraId="6D4E1B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Calibri" w:hAnsi="宋体"/>
          <w:szCs w:val="21"/>
        </w:rPr>
        <w:t>1．</w:t>
      </w:r>
      <w:r>
        <w:rPr>
          <w:rFonts w:ascii="Arial" w:hAnsi="Arial" w:cs="Arial"/>
          <w:kern w:val="0"/>
          <w:szCs w:val="21"/>
        </w:rPr>
        <w:t>生态与环境</w:t>
      </w:r>
    </w:p>
    <w:p w14:paraId="760DC8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1）城市环境与生态系统</w:t>
      </w:r>
    </w:p>
    <w:p w14:paraId="12C8D2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2）城市规划中的环境与生态分析</w:t>
      </w:r>
    </w:p>
    <w:p w14:paraId="4B0504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Arial" w:hAnsi="Arial" w:cs="Arial"/>
          <w:kern w:val="0"/>
          <w:szCs w:val="21"/>
        </w:rPr>
        <w:t>经济与产业</w:t>
      </w:r>
    </w:p>
    <w:p w14:paraId="40D7B1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1）城市发展、空间经济、产业结构与全球化</w:t>
      </w:r>
    </w:p>
    <w:p w14:paraId="48819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2）城市规划中的经济、产业分析</w:t>
      </w:r>
    </w:p>
    <w:p w14:paraId="11F674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ascii="Calibri" w:hAnsi="宋体"/>
          <w:szCs w:val="21"/>
        </w:rPr>
        <w:t>3</w:t>
      </w:r>
      <w:r>
        <w:rPr>
          <w:rFonts w:hint="eastAsia" w:ascii="Calibri" w:hAnsi="宋体"/>
          <w:szCs w:val="21"/>
        </w:rPr>
        <w:t>．</w:t>
      </w:r>
      <w:r>
        <w:rPr>
          <w:rFonts w:ascii="Arial" w:hAnsi="Arial" w:cs="Arial"/>
          <w:kern w:val="0"/>
          <w:szCs w:val="21"/>
        </w:rPr>
        <w:t>人口与社会</w:t>
      </w:r>
    </w:p>
    <w:p w14:paraId="0CEA60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1）城市人口与社会</w:t>
      </w:r>
    </w:p>
    <w:p w14:paraId="6F1783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2）城市规划中的人口与社会分析</w:t>
      </w:r>
    </w:p>
    <w:p w14:paraId="0BB6C6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Arial" w:hAnsi="Arial" w:cs="Arial"/>
          <w:kern w:val="0"/>
          <w:szCs w:val="21"/>
        </w:rPr>
      </w:pPr>
      <w:r>
        <w:rPr>
          <w:rFonts w:ascii="Calibri" w:hAnsi="宋体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Arial" w:hAnsi="Arial" w:cs="Arial"/>
          <w:kern w:val="0"/>
          <w:szCs w:val="21"/>
        </w:rPr>
        <w:t>历史与文化</w:t>
      </w:r>
    </w:p>
    <w:p w14:paraId="4E11BD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1）城市历史与文化</w:t>
      </w:r>
    </w:p>
    <w:p w14:paraId="2EEE6B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2）城市规划的历史与文化分析</w:t>
      </w:r>
    </w:p>
    <w:p w14:paraId="48441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黑体" w:hAnsi="DotumChe" w:eastAsia="黑体"/>
          <w:szCs w:val="21"/>
        </w:rPr>
      </w:pPr>
      <w:r>
        <w:rPr>
          <w:rFonts w:hint="eastAsia" w:ascii="黑体" w:hAnsi="DotumChe" w:eastAsia="黑体"/>
          <w:szCs w:val="21"/>
        </w:rPr>
        <w:t>（三）城乡空间规划</w:t>
      </w:r>
    </w:p>
    <w:p w14:paraId="069E0E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1．我国城乡规划的类型与编制内容</w:t>
      </w:r>
    </w:p>
    <w:p w14:paraId="3A6AD6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1）工作内容、特点及资料调研</w:t>
      </w:r>
    </w:p>
    <w:p w14:paraId="7D3993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2）层面及主要内容</w:t>
      </w:r>
    </w:p>
    <w:p w14:paraId="636DE6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城市用地分类及适用性评价</w:t>
      </w:r>
    </w:p>
    <w:p w14:paraId="03A86D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1）城市用地及适用性评价</w:t>
      </w:r>
    </w:p>
    <w:p w14:paraId="5EFB9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2）城市用地分类及构成</w:t>
      </w:r>
    </w:p>
    <w:p w14:paraId="5BCED9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3</w:t>
      </w:r>
      <w:r>
        <w:rPr>
          <w:rFonts w:hint="eastAsia" w:ascii="Calibri" w:hAnsi="宋体"/>
          <w:szCs w:val="21"/>
        </w:rPr>
        <w:t>．城乡</w:t>
      </w:r>
      <w:r>
        <w:rPr>
          <w:rFonts w:ascii="Calibri" w:hAnsi="宋体"/>
          <w:szCs w:val="21"/>
        </w:rPr>
        <w:t>总体规划</w:t>
      </w:r>
    </w:p>
    <w:p w14:paraId="340D31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1）总体规划的作用与特点</w:t>
      </w:r>
    </w:p>
    <w:p w14:paraId="7E83C9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2）区域与城乡发展战略研究</w:t>
      </w:r>
    </w:p>
    <w:p w14:paraId="000665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3）城市总体布局与总规的编制</w:t>
      </w:r>
    </w:p>
    <w:p w14:paraId="19B449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4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控制性详细规划</w:t>
      </w:r>
    </w:p>
    <w:p w14:paraId="0A2232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1）控规的编制内容与方法</w:t>
      </w:r>
    </w:p>
    <w:p w14:paraId="5B803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2）规定性控制要素与引导性控制要素</w:t>
      </w:r>
    </w:p>
    <w:p w14:paraId="3DDC8C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3）公共服务设施与市政设施控制</w:t>
      </w:r>
    </w:p>
    <w:p w14:paraId="21CDA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ascii="黑体" w:hAnsi="DotumChe" w:eastAsia="黑体"/>
          <w:szCs w:val="21"/>
        </w:rPr>
      </w:pPr>
      <w:r>
        <w:rPr>
          <w:rFonts w:hint="eastAsia" w:ascii="黑体" w:hAnsi="DotumChe" w:eastAsia="黑体"/>
          <w:szCs w:val="21"/>
        </w:rPr>
        <w:t>（四）城乡专项规划与实施</w:t>
      </w:r>
    </w:p>
    <w:p w14:paraId="7720F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1．城市交通与道路系统规划</w:t>
      </w:r>
    </w:p>
    <w:p w14:paraId="4F61A9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1）城市发展布局与城市交通</w:t>
      </w:r>
    </w:p>
    <w:p w14:paraId="79DE4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2）城市道路系统与停车布置</w:t>
      </w:r>
    </w:p>
    <w:p w14:paraId="719380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3）城市对外交通与综合交通规划</w:t>
      </w:r>
    </w:p>
    <w:p w14:paraId="37005E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2</w:t>
      </w:r>
      <w:r>
        <w:rPr>
          <w:rFonts w:hint="eastAsia" w:ascii="Calibri" w:hAnsi="宋体"/>
          <w:szCs w:val="21"/>
        </w:rPr>
        <w:t>．</w:t>
      </w:r>
      <w:r>
        <w:rPr>
          <w:rFonts w:ascii="Calibri" w:hAnsi="宋体"/>
          <w:szCs w:val="21"/>
        </w:rPr>
        <w:t>城市生态与环境规划</w:t>
      </w:r>
    </w:p>
    <w:p w14:paraId="3290FA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1）城市生态与环境规划</w:t>
      </w:r>
    </w:p>
    <w:p w14:paraId="6C70D8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2）城市绿地系统规划</w:t>
      </w:r>
    </w:p>
    <w:p w14:paraId="721F8B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3</w:t>
      </w:r>
      <w:r>
        <w:rPr>
          <w:rFonts w:hint="eastAsia" w:ascii="Calibri" w:hAnsi="宋体"/>
          <w:szCs w:val="21"/>
        </w:rPr>
        <w:t>．城市工程系统规划</w:t>
      </w:r>
    </w:p>
    <w:p w14:paraId="7D5AD8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1）城市给水排水系统规划</w:t>
      </w:r>
    </w:p>
    <w:p w14:paraId="0DB05E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2）城市能源与防灾系统规划</w:t>
      </w:r>
    </w:p>
    <w:p w14:paraId="2AB479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3）城市管线综合</w:t>
      </w:r>
    </w:p>
    <w:p w14:paraId="3E0034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4</w:t>
      </w:r>
      <w:r>
        <w:rPr>
          <w:rFonts w:hint="eastAsia" w:ascii="Calibri" w:hAnsi="宋体"/>
          <w:szCs w:val="21"/>
        </w:rPr>
        <w:t>．城乡住区规划</w:t>
      </w:r>
    </w:p>
    <w:p w14:paraId="115ED3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1）住区规划的理论发展</w:t>
      </w:r>
    </w:p>
    <w:p w14:paraId="00BBA7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2）住区的组成功能与规划结构</w:t>
      </w:r>
    </w:p>
    <w:p w14:paraId="2E163E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3）住区的规划设计及主要经济指标</w:t>
      </w:r>
    </w:p>
    <w:p w14:paraId="5E1C2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5</w:t>
      </w:r>
      <w:r>
        <w:rPr>
          <w:rFonts w:hint="eastAsia" w:ascii="Calibri" w:hAnsi="宋体"/>
          <w:szCs w:val="21"/>
        </w:rPr>
        <w:t>．城市设计</w:t>
      </w:r>
    </w:p>
    <w:p w14:paraId="4C2C98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1）城市设计的含义、作用、内容及类型</w:t>
      </w:r>
    </w:p>
    <w:p w14:paraId="79D8E6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2）城市设计的基本理论</w:t>
      </w:r>
    </w:p>
    <w:p w14:paraId="387798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3）城市公共空间与设计</w:t>
      </w:r>
    </w:p>
    <w:p w14:paraId="0DD8E5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6</w:t>
      </w:r>
      <w:r>
        <w:rPr>
          <w:rFonts w:hint="eastAsia" w:ascii="Calibri" w:hAnsi="宋体"/>
          <w:szCs w:val="21"/>
        </w:rPr>
        <w:t>．城市遗产保护规划与城市复兴</w:t>
      </w:r>
    </w:p>
    <w:p w14:paraId="3DC7DB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1）城市文化遗产保护的原则、意义及历程</w:t>
      </w:r>
    </w:p>
    <w:p w14:paraId="4EB6C1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2）我国历史保护制度与法规建设</w:t>
      </w:r>
    </w:p>
    <w:p w14:paraId="11BFF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3）城市遗产保护规划的基本方法</w:t>
      </w:r>
    </w:p>
    <w:p w14:paraId="0B26A8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7</w:t>
      </w:r>
      <w:r>
        <w:rPr>
          <w:rFonts w:hint="eastAsia" w:ascii="Calibri" w:hAnsi="宋体"/>
          <w:szCs w:val="21"/>
        </w:rPr>
        <w:t>．城乡规划的实施</w:t>
      </w:r>
    </w:p>
    <w:p w14:paraId="758245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1）城市开发的概况</w:t>
      </w:r>
    </w:p>
    <w:p w14:paraId="26C866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jc w:val="left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2）城乡规划管理的主要内容</w:t>
      </w:r>
    </w:p>
    <w:p w14:paraId="37C9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Calibri" w:hAnsi="Calibri"/>
          <w:szCs w:val="21"/>
        </w:rPr>
      </w:pPr>
    </w:p>
    <w:p w14:paraId="7FA8E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四、考试方式与分值</w:t>
      </w:r>
    </w:p>
    <w:p w14:paraId="28F51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  <w:u w:val="none"/>
        </w:rPr>
      </w:pPr>
      <w:r>
        <w:rPr>
          <w:rFonts w:hint="eastAsia" w:ascii="宋体" w:hAnsi="宋体" w:eastAsia="宋体" w:cs="宋体"/>
          <w:b w:val="0"/>
          <w:bCs/>
          <w:szCs w:val="21"/>
          <w:u w:val="none"/>
        </w:rPr>
        <w:t>本科目为闭卷考试，满分150分，其中公共建筑设计原理部分占75分，城市规划原理部分占75分。全国统一考试，考试时间为3小时。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Che">
    <w:altName w:val="Malgun Gothic"/>
    <w:panose1 w:val="00000000000000000000"/>
    <w:charset w:val="81"/>
    <w:family w:val="modern"/>
    <w:pitch w:val="default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B9C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50375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0D25C1"/>
    <w:rsid w:val="000000C5"/>
    <w:rsid w:val="0000311D"/>
    <w:rsid w:val="00011AC0"/>
    <w:rsid w:val="000144B5"/>
    <w:rsid w:val="00016365"/>
    <w:rsid w:val="0002134A"/>
    <w:rsid w:val="0003761E"/>
    <w:rsid w:val="00046AD8"/>
    <w:rsid w:val="00052B2A"/>
    <w:rsid w:val="00060BCD"/>
    <w:rsid w:val="00097656"/>
    <w:rsid w:val="000A42A2"/>
    <w:rsid w:val="000B0CB0"/>
    <w:rsid w:val="000B5FD2"/>
    <w:rsid w:val="000C0E1C"/>
    <w:rsid w:val="000C2346"/>
    <w:rsid w:val="000C4158"/>
    <w:rsid w:val="000D25C1"/>
    <w:rsid w:val="000D557A"/>
    <w:rsid w:val="000E2114"/>
    <w:rsid w:val="000F1C48"/>
    <w:rsid w:val="00101F9B"/>
    <w:rsid w:val="001246F3"/>
    <w:rsid w:val="00130815"/>
    <w:rsid w:val="0016788E"/>
    <w:rsid w:val="001813F0"/>
    <w:rsid w:val="00185740"/>
    <w:rsid w:val="00195155"/>
    <w:rsid w:val="001A64A1"/>
    <w:rsid w:val="001B2932"/>
    <w:rsid w:val="001B3E5C"/>
    <w:rsid w:val="001B798B"/>
    <w:rsid w:val="001C00A1"/>
    <w:rsid w:val="001E2A65"/>
    <w:rsid w:val="001E3313"/>
    <w:rsid w:val="001E3C73"/>
    <w:rsid w:val="001E4F77"/>
    <w:rsid w:val="001F264C"/>
    <w:rsid w:val="00221249"/>
    <w:rsid w:val="00224C10"/>
    <w:rsid w:val="002358C6"/>
    <w:rsid w:val="002435D6"/>
    <w:rsid w:val="0024453D"/>
    <w:rsid w:val="002616D2"/>
    <w:rsid w:val="00262D0C"/>
    <w:rsid w:val="00273C23"/>
    <w:rsid w:val="00290A5E"/>
    <w:rsid w:val="00291578"/>
    <w:rsid w:val="00293686"/>
    <w:rsid w:val="00295030"/>
    <w:rsid w:val="002A15AB"/>
    <w:rsid w:val="002B041D"/>
    <w:rsid w:val="002B5AF6"/>
    <w:rsid w:val="002C5703"/>
    <w:rsid w:val="002D21F5"/>
    <w:rsid w:val="002D4E15"/>
    <w:rsid w:val="002E6F46"/>
    <w:rsid w:val="00314C22"/>
    <w:rsid w:val="00323933"/>
    <w:rsid w:val="00341427"/>
    <w:rsid w:val="003469C1"/>
    <w:rsid w:val="00354A93"/>
    <w:rsid w:val="00355C18"/>
    <w:rsid w:val="003572F6"/>
    <w:rsid w:val="003726F7"/>
    <w:rsid w:val="00377B98"/>
    <w:rsid w:val="003A73FE"/>
    <w:rsid w:val="003B4661"/>
    <w:rsid w:val="003B5137"/>
    <w:rsid w:val="003B7A71"/>
    <w:rsid w:val="003D5EE1"/>
    <w:rsid w:val="003E11F7"/>
    <w:rsid w:val="003E347C"/>
    <w:rsid w:val="003E6C51"/>
    <w:rsid w:val="003F3EB3"/>
    <w:rsid w:val="003F421D"/>
    <w:rsid w:val="004009FB"/>
    <w:rsid w:val="00401B75"/>
    <w:rsid w:val="004130C3"/>
    <w:rsid w:val="004328F4"/>
    <w:rsid w:val="0046205B"/>
    <w:rsid w:val="00463CCD"/>
    <w:rsid w:val="004648E0"/>
    <w:rsid w:val="004777C4"/>
    <w:rsid w:val="00482F35"/>
    <w:rsid w:val="00491624"/>
    <w:rsid w:val="00493277"/>
    <w:rsid w:val="00493A73"/>
    <w:rsid w:val="004A0C28"/>
    <w:rsid w:val="004B2D9E"/>
    <w:rsid w:val="004B4012"/>
    <w:rsid w:val="004C2FEF"/>
    <w:rsid w:val="004D04AD"/>
    <w:rsid w:val="004E0AA9"/>
    <w:rsid w:val="004E7727"/>
    <w:rsid w:val="004F159A"/>
    <w:rsid w:val="005013D2"/>
    <w:rsid w:val="005056C4"/>
    <w:rsid w:val="0050657E"/>
    <w:rsid w:val="00511BAB"/>
    <w:rsid w:val="00537CC2"/>
    <w:rsid w:val="00541BED"/>
    <w:rsid w:val="00541DA7"/>
    <w:rsid w:val="00544EBF"/>
    <w:rsid w:val="00545FC2"/>
    <w:rsid w:val="0056009F"/>
    <w:rsid w:val="00571392"/>
    <w:rsid w:val="00583D9C"/>
    <w:rsid w:val="005950D4"/>
    <w:rsid w:val="00595577"/>
    <w:rsid w:val="005A0FF0"/>
    <w:rsid w:val="005A1D20"/>
    <w:rsid w:val="005B0653"/>
    <w:rsid w:val="005D3DE9"/>
    <w:rsid w:val="005E0831"/>
    <w:rsid w:val="005E60E1"/>
    <w:rsid w:val="00606615"/>
    <w:rsid w:val="0061757F"/>
    <w:rsid w:val="00620CE1"/>
    <w:rsid w:val="00634EAE"/>
    <w:rsid w:val="00645D30"/>
    <w:rsid w:val="00646540"/>
    <w:rsid w:val="00671F1A"/>
    <w:rsid w:val="006755B8"/>
    <w:rsid w:val="0067777B"/>
    <w:rsid w:val="00681A32"/>
    <w:rsid w:val="00686D10"/>
    <w:rsid w:val="0069305E"/>
    <w:rsid w:val="006A40C2"/>
    <w:rsid w:val="006A695E"/>
    <w:rsid w:val="006A7BA1"/>
    <w:rsid w:val="006B679E"/>
    <w:rsid w:val="006C48A3"/>
    <w:rsid w:val="006D44DE"/>
    <w:rsid w:val="006E6A4F"/>
    <w:rsid w:val="006F5FCF"/>
    <w:rsid w:val="00710929"/>
    <w:rsid w:val="00711F32"/>
    <w:rsid w:val="0071340A"/>
    <w:rsid w:val="007242F4"/>
    <w:rsid w:val="0074798A"/>
    <w:rsid w:val="00750572"/>
    <w:rsid w:val="007604DD"/>
    <w:rsid w:val="00764073"/>
    <w:rsid w:val="007851C6"/>
    <w:rsid w:val="00793BF9"/>
    <w:rsid w:val="007A1B3E"/>
    <w:rsid w:val="007B5862"/>
    <w:rsid w:val="007C1591"/>
    <w:rsid w:val="007C63DC"/>
    <w:rsid w:val="007C77D7"/>
    <w:rsid w:val="007C7E31"/>
    <w:rsid w:val="007D7718"/>
    <w:rsid w:val="007F072D"/>
    <w:rsid w:val="007F5D47"/>
    <w:rsid w:val="007F7A99"/>
    <w:rsid w:val="00801058"/>
    <w:rsid w:val="00801878"/>
    <w:rsid w:val="008019CE"/>
    <w:rsid w:val="00802B3A"/>
    <w:rsid w:val="008124C6"/>
    <w:rsid w:val="008153C6"/>
    <w:rsid w:val="00815A75"/>
    <w:rsid w:val="00833BE7"/>
    <w:rsid w:val="008356F0"/>
    <w:rsid w:val="00837A32"/>
    <w:rsid w:val="0084127D"/>
    <w:rsid w:val="0084263C"/>
    <w:rsid w:val="0084619B"/>
    <w:rsid w:val="00857157"/>
    <w:rsid w:val="00862BED"/>
    <w:rsid w:val="0087396A"/>
    <w:rsid w:val="0088157C"/>
    <w:rsid w:val="008B138D"/>
    <w:rsid w:val="008B2762"/>
    <w:rsid w:val="008B4BF6"/>
    <w:rsid w:val="008D7522"/>
    <w:rsid w:val="008E0BCF"/>
    <w:rsid w:val="008E0E06"/>
    <w:rsid w:val="008F121E"/>
    <w:rsid w:val="008F4738"/>
    <w:rsid w:val="00906098"/>
    <w:rsid w:val="009069CE"/>
    <w:rsid w:val="009135E4"/>
    <w:rsid w:val="00922EFC"/>
    <w:rsid w:val="00923669"/>
    <w:rsid w:val="00924FA7"/>
    <w:rsid w:val="009251F7"/>
    <w:rsid w:val="00926FD6"/>
    <w:rsid w:val="00930D96"/>
    <w:rsid w:val="00933623"/>
    <w:rsid w:val="00934D4C"/>
    <w:rsid w:val="00940704"/>
    <w:rsid w:val="00940A55"/>
    <w:rsid w:val="00963AFF"/>
    <w:rsid w:val="00965495"/>
    <w:rsid w:val="00966404"/>
    <w:rsid w:val="00971DAE"/>
    <w:rsid w:val="00973689"/>
    <w:rsid w:val="00974C82"/>
    <w:rsid w:val="00991A77"/>
    <w:rsid w:val="009A27C4"/>
    <w:rsid w:val="009A2E45"/>
    <w:rsid w:val="009B7A53"/>
    <w:rsid w:val="009D76E6"/>
    <w:rsid w:val="009D7F20"/>
    <w:rsid w:val="009F4F17"/>
    <w:rsid w:val="00A0606F"/>
    <w:rsid w:val="00A06DD0"/>
    <w:rsid w:val="00A10D48"/>
    <w:rsid w:val="00A23F64"/>
    <w:rsid w:val="00A4735E"/>
    <w:rsid w:val="00A736DC"/>
    <w:rsid w:val="00A76187"/>
    <w:rsid w:val="00A8748A"/>
    <w:rsid w:val="00A9464F"/>
    <w:rsid w:val="00AB4180"/>
    <w:rsid w:val="00AD2017"/>
    <w:rsid w:val="00AD440A"/>
    <w:rsid w:val="00AE2F6D"/>
    <w:rsid w:val="00AF516D"/>
    <w:rsid w:val="00AF6307"/>
    <w:rsid w:val="00B17C23"/>
    <w:rsid w:val="00B21DCD"/>
    <w:rsid w:val="00B227D1"/>
    <w:rsid w:val="00B23CC7"/>
    <w:rsid w:val="00B47C09"/>
    <w:rsid w:val="00B57848"/>
    <w:rsid w:val="00B627AF"/>
    <w:rsid w:val="00B64EEB"/>
    <w:rsid w:val="00B8283C"/>
    <w:rsid w:val="00B920C3"/>
    <w:rsid w:val="00BB29EE"/>
    <w:rsid w:val="00BB6986"/>
    <w:rsid w:val="00BC662F"/>
    <w:rsid w:val="00BD0A5A"/>
    <w:rsid w:val="00BE59B2"/>
    <w:rsid w:val="00C01338"/>
    <w:rsid w:val="00C1134F"/>
    <w:rsid w:val="00C3065B"/>
    <w:rsid w:val="00C324A4"/>
    <w:rsid w:val="00C34E57"/>
    <w:rsid w:val="00C429AC"/>
    <w:rsid w:val="00C44174"/>
    <w:rsid w:val="00C61AC5"/>
    <w:rsid w:val="00C7234A"/>
    <w:rsid w:val="00C83946"/>
    <w:rsid w:val="00C9763A"/>
    <w:rsid w:val="00CA0D06"/>
    <w:rsid w:val="00CB664C"/>
    <w:rsid w:val="00CC249F"/>
    <w:rsid w:val="00CC6BCC"/>
    <w:rsid w:val="00CD06EF"/>
    <w:rsid w:val="00CE0703"/>
    <w:rsid w:val="00CF3037"/>
    <w:rsid w:val="00D028DB"/>
    <w:rsid w:val="00D11AD5"/>
    <w:rsid w:val="00D17A36"/>
    <w:rsid w:val="00D24C54"/>
    <w:rsid w:val="00D33F93"/>
    <w:rsid w:val="00D353E2"/>
    <w:rsid w:val="00D3794B"/>
    <w:rsid w:val="00D6557E"/>
    <w:rsid w:val="00D67212"/>
    <w:rsid w:val="00D77244"/>
    <w:rsid w:val="00D83A56"/>
    <w:rsid w:val="00D90D42"/>
    <w:rsid w:val="00D96542"/>
    <w:rsid w:val="00D96F90"/>
    <w:rsid w:val="00DA3593"/>
    <w:rsid w:val="00DA58C9"/>
    <w:rsid w:val="00DB36BD"/>
    <w:rsid w:val="00DB55C6"/>
    <w:rsid w:val="00DB7568"/>
    <w:rsid w:val="00DC01B0"/>
    <w:rsid w:val="00DC38DE"/>
    <w:rsid w:val="00DC487F"/>
    <w:rsid w:val="00DD50A1"/>
    <w:rsid w:val="00DD6F75"/>
    <w:rsid w:val="00DE3011"/>
    <w:rsid w:val="00DF6A24"/>
    <w:rsid w:val="00E01250"/>
    <w:rsid w:val="00E10512"/>
    <w:rsid w:val="00E11D99"/>
    <w:rsid w:val="00E24D49"/>
    <w:rsid w:val="00E3139E"/>
    <w:rsid w:val="00E343ED"/>
    <w:rsid w:val="00E34C67"/>
    <w:rsid w:val="00E4026C"/>
    <w:rsid w:val="00E40FFC"/>
    <w:rsid w:val="00E428E5"/>
    <w:rsid w:val="00E51336"/>
    <w:rsid w:val="00E66722"/>
    <w:rsid w:val="00E714C3"/>
    <w:rsid w:val="00E859AE"/>
    <w:rsid w:val="00E86A8C"/>
    <w:rsid w:val="00E92B0A"/>
    <w:rsid w:val="00E93A26"/>
    <w:rsid w:val="00EB0311"/>
    <w:rsid w:val="00ED0432"/>
    <w:rsid w:val="00EE14B6"/>
    <w:rsid w:val="00EF038C"/>
    <w:rsid w:val="00EF293E"/>
    <w:rsid w:val="00F00D50"/>
    <w:rsid w:val="00F06C64"/>
    <w:rsid w:val="00F076EC"/>
    <w:rsid w:val="00F13918"/>
    <w:rsid w:val="00F13B78"/>
    <w:rsid w:val="00F14C45"/>
    <w:rsid w:val="00F22AD3"/>
    <w:rsid w:val="00F33C76"/>
    <w:rsid w:val="00F3776B"/>
    <w:rsid w:val="00F56BF0"/>
    <w:rsid w:val="00F64E90"/>
    <w:rsid w:val="00F80680"/>
    <w:rsid w:val="00F92BBE"/>
    <w:rsid w:val="00FE139D"/>
    <w:rsid w:val="00FE2BAB"/>
    <w:rsid w:val="00FE3701"/>
    <w:rsid w:val="27D53CEB"/>
    <w:rsid w:val="34420E55"/>
    <w:rsid w:val="3F027402"/>
    <w:rsid w:val="517311FF"/>
    <w:rsid w:val="6F995967"/>
    <w:rsid w:val="73A32F6F"/>
    <w:rsid w:val="7DEF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3 Char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2319</Words>
  <Characters>2328</Characters>
  <Lines>19</Lines>
  <Paragraphs>5</Paragraphs>
  <TotalTime>1</TotalTime>
  <ScaleCrop>false</ScaleCrop>
  <LinksUpToDate>false</LinksUpToDate>
  <CharactersWithSpaces>2332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2018-07-03T09:12:00Z</dcterms:created>
  <dc:creator>山东大学研究生招生办公室;USER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2024-10-11T00:59:01Z</dcterms:modified>
  <dc:title>第一章 公共建筑的总体环境布局；第二章 公共建筑的功能关系与空间组合；第三章 公共建筑的造型艺术问题；第四章 公共建筑技术经济问题的分析；第五章 空间组合的综合分析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FC1C786AE44543CEB34649C5FF84FCB1_13</vt:lpwstr>
  </property>
</Properties>
</file>