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0E64D5">
      <w:pPr>
        <w:widowControl/>
        <w:jc w:val="center"/>
      </w:pPr>
      <w:r>
        <w:rPr>
          <w:noProof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64" w:rsidRDefault="003B0A64">
      <w:pPr>
        <w:widowControl/>
        <w:jc w:val="center"/>
      </w:pPr>
    </w:p>
    <w:p w:rsidR="003B0A64" w:rsidRDefault="003B0A64">
      <w:pPr>
        <w:widowControl/>
        <w:jc w:val="center"/>
      </w:pPr>
    </w:p>
    <w:p w:rsidR="003B0A64" w:rsidRDefault="000E64D5">
      <w:pPr>
        <w:widowControl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硕士研究生</w:t>
      </w:r>
      <w:r>
        <w:rPr>
          <w:rFonts w:eastAsia="华文中宋" w:hAnsi="华文中宋" w:hint="eastAsia"/>
          <w:b/>
          <w:sz w:val="44"/>
          <w:szCs w:val="44"/>
        </w:rPr>
        <w:t>招生</w:t>
      </w:r>
      <w:r>
        <w:rPr>
          <w:rFonts w:eastAsia="华文中宋" w:hAnsi="华文中宋"/>
          <w:b/>
          <w:sz w:val="44"/>
          <w:szCs w:val="44"/>
        </w:rPr>
        <w:t>考试</w:t>
      </w:r>
      <w:r w:rsidR="00CB1B56">
        <w:rPr>
          <w:rFonts w:eastAsia="华文中宋" w:hAnsi="华文中宋" w:hint="eastAsia"/>
          <w:b/>
          <w:sz w:val="44"/>
          <w:szCs w:val="44"/>
        </w:rPr>
        <w:t>复试科目</w:t>
      </w:r>
    </w:p>
    <w:p w:rsidR="003B0A64" w:rsidRDefault="000E64D5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《生物</w:t>
      </w:r>
      <w:r>
        <w:rPr>
          <w:rFonts w:eastAsia="黑体" w:hint="eastAsia"/>
          <w:b/>
          <w:sz w:val="52"/>
          <w:szCs w:val="52"/>
        </w:rPr>
        <w:t>化学</w:t>
      </w:r>
      <w:r>
        <w:rPr>
          <w:rFonts w:eastAsia="黑体"/>
          <w:b/>
          <w:sz w:val="52"/>
          <w:szCs w:val="52"/>
        </w:rPr>
        <w:t>》</w:t>
      </w:r>
    </w:p>
    <w:p w:rsidR="003B0A64" w:rsidRDefault="000E64D5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:rsidR="003B0A64" w:rsidRDefault="000E64D5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</w:t>
      </w:r>
      <w:r>
        <w:rPr>
          <w:rFonts w:eastAsia="黑体"/>
          <w:sz w:val="30"/>
          <w:szCs w:val="30"/>
        </w:rPr>
        <w:t>科目代码：</w:t>
      </w:r>
      <w:r>
        <w:rPr>
          <w:rFonts w:eastAsia="黑体" w:hint="eastAsia"/>
          <w:sz w:val="30"/>
          <w:szCs w:val="30"/>
        </w:rPr>
        <w:t>951</w:t>
      </w:r>
      <w:r>
        <w:rPr>
          <w:rFonts w:eastAsia="黑体"/>
          <w:sz w:val="30"/>
          <w:szCs w:val="30"/>
        </w:rPr>
        <w:t>)</w:t>
      </w: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0E64D5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生命科学学院      </w:t>
      </w:r>
    </w:p>
    <w:p w:rsidR="003B0A64" w:rsidRDefault="000E64D5">
      <w:pPr>
        <w:widowControl/>
        <w:ind w:firstLineChars="568" w:firstLine="1633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   </w:t>
      </w:r>
    </w:p>
    <w:p w:rsidR="003B0A64" w:rsidRDefault="000E64D5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编  制  时  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202</w:t>
      </w:r>
      <w:r w:rsidR="00CB1B56">
        <w:rPr>
          <w:rFonts w:ascii="仿宋_GB2312" w:eastAsia="仿宋_GB2312" w:hAnsi="宋体"/>
          <w:sz w:val="32"/>
          <w:szCs w:val="32"/>
          <w:u w:val="single"/>
        </w:rPr>
        <w:t>4</w:t>
      </w:r>
      <w:r>
        <w:rPr>
          <w:rFonts w:ascii="仿宋_GB2312" w:eastAsia="仿宋_GB2312" w:hAnsi="宋体" w:hint="eastAsia"/>
          <w:sz w:val="32"/>
          <w:szCs w:val="32"/>
          <w:u w:val="single"/>
        </w:rPr>
        <w:t>年</w:t>
      </w:r>
      <w:r w:rsidR="00CB1B56">
        <w:rPr>
          <w:rFonts w:ascii="仿宋_GB2312" w:eastAsia="仿宋_GB2312" w:hAnsi="宋体"/>
          <w:sz w:val="32"/>
          <w:szCs w:val="32"/>
          <w:u w:val="single"/>
        </w:rPr>
        <w:t>7</w:t>
      </w:r>
      <w:r>
        <w:rPr>
          <w:rFonts w:ascii="仿宋_GB2312" w:eastAsia="仿宋_GB2312" w:hAnsi="宋体" w:hint="eastAsia"/>
          <w:sz w:val="32"/>
          <w:szCs w:val="32"/>
          <w:u w:val="single"/>
        </w:rPr>
        <w:t>月</w:t>
      </w:r>
      <w:r w:rsidR="00671C0F">
        <w:rPr>
          <w:rFonts w:ascii="仿宋_GB2312" w:eastAsia="仿宋_GB2312" w:hAnsi="宋体"/>
          <w:sz w:val="32"/>
          <w:szCs w:val="32"/>
          <w:u w:val="single"/>
        </w:rPr>
        <w:t>1</w:t>
      </w:r>
      <w:r w:rsidR="00CB1B56">
        <w:rPr>
          <w:rFonts w:ascii="仿宋_GB2312" w:eastAsia="仿宋_GB2312" w:hAnsi="宋体"/>
          <w:sz w:val="32"/>
          <w:szCs w:val="32"/>
          <w:u w:val="single"/>
        </w:rPr>
        <w:t>0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日    </w:t>
      </w:r>
    </w:p>
    <w:p w:rsidR="003B0A64" w:rsidRDefault="000E64D5">
      <w:pPr>
        <w:widowControl/>
        <w:ind w:firstLineChars="506" w:firstLine="161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:rsidR="003B0A64" w:rsidRDefault="000E64D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西北师范大学硕士研究生入学考试复试</w:t>
      </w:r>
      <w:r w:rsidR="00CB1B56">
        <w:rPr>
          <w:rFonts w:ascii="宋体" w:hAnsi="宋体" w:cs="宋体" w:hint="eastAsia"/>
          <w:b/>
          <w:bCs/>
          <w:kern w:val="0"/>
          <w:sz w:val="32"/>
          <w:szCs w:val="32"/>
        </w:rPr>
        <w:t>科目</w:t>
      </w:r>
    </w:p>
    <w:p w:rsidR="003B0A64" w:rsidRDefault="000E64D5"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《生物化学》考试大纲</w:t>
      </w:r>
    </w:p>
    <w:p w:rsidR="003B0A64" w:rsidRDefault="000E64D5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</w:t>
      </w:r>
      <w:r>
        <w:rPr>
          <w:rFonts w:eastAsia="黑体"/>
          <w:sz w:val="24"/>
        </w:rPr>
        <w:t>科目代码：</w:t>
      </w:r>
      <w:r>
        <w:rPr>
          <w:rFonts w:eastAsia="黑体" w:hint="eastAsia"/>
          <w:sz w:val="24"/>
        </w:rPr>
        <w:t>951</w:t>
      </w:r>
      <w:r>
        <w:rPr>
          <w:rFonts w:eastAsia="黑体"/>
          <w:sz w:val="24"/>
        </w:rPr>
        <w:t>)</w:t>
      </w:r>
    </w:p>
    <w:p w:rsidR="003B0A64" w:rsidRDefault="000E64D5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:rsidR="003B0A64" w:rsidRDefault="000E64D5">
      <w:pPr>
        <w:spacing w:line="360" w:lineRule="auto"/>
        <w:ind w:firstLineChars="196" w:firstLine="470"/>
        <w:rPr>
          <w:rStyle w:val="a9"/>
          <w:b w:val="0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Ansi="宋体" w:hint="eastAsia"/>
          <w:sz w:val="24"/>
        </w:rPr>
        <w:t>化学</w:t>
      </w:r>
      <w:r>
        <w:rPr>
          <w:rFonts w:hAnsi="宋体"/>
          <w:sz w:val="24"/>
        </w:rPr>
        <w:t>》是为</w:t>
      </w:r>
      <w:r>
        <w:rPr>
          <w:rFonts w:hAnsi="宋体" w:hint="eastAsia"/>
          <w:sz w:val="24"/>
        </w:rPr>
        <w:t>生物学</w:t>
      </w:r>
      <w:r w:rsidR="00CB1B56">
        <w:rPr>
          <w:rFonts w:hAnsi="宋体" w:hint="eastAsia"/>
          <w:sz w:val="24"/>
        </w:rPr>
        <w:t>专业</w:t>
      </w:r>
      <w:bookmarkStart w:id="0" w:name="_GoBack"/>
      <w:bookmarkEnd w:id="0"/>
      <w:r>
        <w:rPr>
          <w:rFonts w:hAnsi="宋体" w:hint="eastAsia"/>
          <w:sz w:val="24"/>
        </w:rPr>
        <w:t>学术型</w:t>
      </w:r>
      <w:r>
        <w:rPr>
          <w:rFonts w:ascii="ˎ̥" w:hAnsi="ˎ̥" w:hint="eastAsia"/>
          <w:color w:val="000000"/>
          <w:sz w:val="24"/>
        </w:rPr>
        <w:t>硕士研究生</w:t>
      </w:r>
      <w:r>
        <w:rPr>
          <w:rFonts w:hAnsi="ˎ̥"/>
          <w:color w:val="000000"/>
          <w:sz w:val="24"/>
        </w:rPr>
        <w:t>设置的具有选拔性质的</w:t>
      </w:r>
      <w:r>
        <w:rPr>
          <w:rFonts w:hAnsi="ˎ̥" w:hint="eastAsia"/>
          <w:color w:val="000000"/>
          <w:sz w:val="24"/>
        </w:rPr>
        <w:t>复试</w:t>
      </w:r>
      <w:r>
        <w:rPr>
          <w:rFonts w:hAnsi="ˎ̥"/>
          <w:color w:val="000000"/>
          <w:sz w:val="24"/>
        </w:rPr>
        <w:t>考试科目。其目的是科学、公平、有效地测试考生掌握《生物</w:t>
      </w:r>
      <w:r>
        <w:rPr>
          <w:rFonts w:hAnsi="ˎ̥" w:hint="eastAsia"/>
          <w:color w:val="000000"/>
          <w:sz w:val="24"/>
        </w:rPr>
        <w:t>化学</w:t>
      </w:r>
      <w:r>
        <w:rPr>
          <w:rFonts w:hAnsi="ˎ̥"/>
          <w:color w:val="000000"/>
          <w:sz w:val="24"/>
        </w:rPr>
        <w:t>》课程的基础知识、基本理论、基本方法的水平和分析问题、解决问题的能力，为了择优录取、确保</w:t>
      </w:r>
      <w:r>
        <w:rPr>
          <w:rFonts w:hAnsi="ˎ̥" w:hint="eastAsia"/>
          <w:color w:val="000000"/>
          <w:sz w:val="24"/>
        </w:rPr>
        <w:t>生物学</w:t>
      </w:r>
      <w:r>
        <w:rPr>
          <w:rFonts w:hAnsi="ˎ̥"/>
          <w:color w:val="000000"/>
          <w:sz w:val="24"/>
        </w:rPr>
        <w:t>硕士研究生的入学质量</w:t>
      </w:r>
      <w:r w:rsidR="00671C0F">
        <w:rPr>
          <w:rFonts w:hAnsi="ˎ̥" w:hint="eastAsia"/>
          <w:color w:val="000000"/>
          <w:sz w:val="24"/>
        </w:rPr>
        <w:t>。</w:t>
      </w:r>
      <w:r>
        <w:rPr>
          <w:rFonts w:hAnsi="ˎ̥"/>
          <w:color w:val="000000"/>
          <w:sz w:val="24"/>
        </w:rPr>
        <w:t>在考试形式</w:t>
      </w:r>
      <w:r>
        <w:rPr>
          <w:rStyle w:val="a9"/>
          <w:rFonts w:hAnsi="ˎ̥"/>
          <w:b w:val="0"/>
          <w:color w:val="000000"/>
          <w:sz w:val="24"/>
        </w:rPr>
        <w:t>和试卷结构等方面有如下要求：</w:t>
      </w:r>
    </w:p>
    <w:p w:rsidR="003B0A64" w:rsidRDefault="000E64D5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:rsidR="003B0A64" w:rsidRDefault="000E64D5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120</w:t>
      </w:r>
      <w:r>
        <w:rPr>
          <w:rFonts w:hAnsi="宋体"/>
          <w:sz w:val="24"/>
        </w:rPr>
        <w:t>分钟</w:t>
      </w:r>
      <w:r>
        <w:rPr>
          <w:rFonts w:hAnsi="宋体" w:hint="eastAsia"/>
          <w:sz w:val="24"/>
        </w:rPr>
        <w:t>。</w:t>
      </w:r>
    </w:p>
    <w:p w:rsidR="003B0A64" w:rsidRDefault="000E64D5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:rsidR="003B0A64" w:rsidRDefault="000E64D5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Ansi="宋体" w:hint="eastAsia"/>
          <w:sz w:val="24"/>
        </w:rPr>
        <w:t>。</w:t>
      </w:r>
    </w:p>
    <w:p w:rsidR="003B0A64" w:rsidRDefault="000E64D5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Ansi="宋体" w:hint="eastAsia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:rsidR="003B0A64" w:rsidRDefault="000E64D5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题型：名词解释、选择题、判断题、填空题、问答题、</w:t>
      </w:r>
      <w:bookmarkStart w:id="1" w:name="_Hlk107081140"/>
      <w:r>
        <w:rPr>
          <w:rFonts w:ascii="宋体" w:hAnsi="宋体" w:cs="宋体" w:hint="eastAsia"/>
          <w:kern w:val="0"/>
          <w:sz w:val="24"/>
        </w:rPr>
        <w:t>计算题和论述题。</w:t>
      </w:r>
      <w:bookmarkEnd w:id="1"/>
    </w:p>
    <w:p w:rsidR="003B0A64" w:rsidRDefault="000E64D5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二、评价目标</w:t>
      </w:r>
    </w:p>
    <w:p w:rsidR="003B0A64" w:rsidRDefault="000E64D5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生物化学》考试在考查考生对生物化学基础知识、基本理论理解的基础上，注重考查理论联系实际的能力，说明、提出、分析和解决这些学科中出现的现象和问题。正确地理解和掌握有关的基本概念、理论、假说、规律和论断；运用掌握的基础理论知识和原理，可以就某一问题设计出实验方案；准确、恰当地使用专业术语，文字通顺、层次清楚、有论有据、合乎逻辑地表述。</w:t>
      </w:r>
    </w:p>
    <w:p w:rsidR="003B0A64" w:rsidRDefault="000E64D5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0"/>
          <w:szCs w:val="30"/>
        </w:rPr>
        <w:t>三</w:t>
      </w:r>
      <w:r>
        <w:rPr>
          <w:rFonts w:eastAsia="黑体"/>
          <w:b/>
          <w:sz w:val="30"/>
          <w:szCs w:val="30"/>
        </w:rPr>
        <w:t>、</w:t>
      </w:r>
      <w:r>
        <w:rPr>
          <w:rFonts w:eastAsia="黑体" w:hint="eastAsia"/>
          <w:b/>
          <w:sz w:val="30"/>
          <w:szCs w:val="30"/>
        </w:rPr>
        <w:t>参考书</w:t>
      </w:r>
    </w:p>
    <w:p w:rsidR="003B0A64" w:rsidRDefault="000E64D5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1. </w:t>
      </w:r>
      <w:r>
        <w:rPr>
          <w:rFonts w:hAnsi="ˎ̥" w:hint="eastAsia"/>
          <w:color w:val="000000"/>
          <w:sz w:val="24"/>
        </w:rPr>
        <w:t>魏民</w:t>
      </w:r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等主编，《生物化学简明教程》，高等教育出版社（第六版），</w:t>
      </w:r>
      <w:r>
        <w:rPr>
          <w:rFonts w:hAnsi="ˎ̥" w:hint="eastAsia"/>
          <w:color w:val="000000"/>
          <w:sz w:val="24"/>
        </w:rPr>
        <w:t>2020</w:t>
      </w:r>
      <w:r>
        <w:rPr>
          <w:rFonts w:hAnsi="ˎ̥" w:hint="eastAsia"/>
          <w:color w:val="000000"/>
          <w:sz w:val="24"/>
        </w:rPr>
        <w:t>。</w:t>
      </w:r>
    </w:p>
    <w:p w:rsidR="003B0A64" w:rsidRDefault="000E64D5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2. </w:t>
      </w:r>
      <w:r>
        <w:rPr>
          <w:rFonts w:hAnsi="ˎ̥" w:hint="eastAsia"/>
          <w:color w:val="000000"/>
          <w:sz w:val="24"/>
        </w:rPr>
        <w:t>朱圣庚</w:t>
      </w:r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徐长法主编，《生物化学》，高等教育出版社（第四版），</w:t>
      </w:r>
      <w:r>
        <w:rPr>
          <w:rFonts w:hAnsi="ˎ̥" w:hint="eastAsia"/>
          <w:color w:val="000000"/>
          <w:sz w:val="24"/>
        </w:rPr>
        <w:t>2017</w:t>
      </w:r>
      <w:r>
        <w:rPr>
          <w:rFonts w:hAnsi="ˎ̥" w:hint="eastAsia"/>
          <w:color w:val="000000"/>
          <w:sz w:val="24"/>
        </w:rPr>
        <w:t>年。</w:t>
      </w:r>
    </w:p>
    <w:p w:rsidR="003B0A64" w:rsidRDefault="000E64D5">
      <w:pPr>
        <w:spacing w:beforeLines="50" w:before="156" w:line="360" w:lineRule="auto"/>
        <w:ind w:firstLineChars="20" w:firstLine="60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lastRenderedPageBreak/>
        <w:t>三、考核内容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</w:t>
      </w:r>
      <w:r>
        <w:rPr>
          <w:rFonts w:hint="eastAsia"/>
          <w:b/>
          <w:bCs/>
          <w:sz w:val="24"/>
          <w:lang w:val="zh-CN"/>
        </w:rPr>
        <w:t>、肽和蛋白质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氨基酸的结构、酸碱性质及氨基酸的化学反应，氨基酸的光学活性；氨基酸混合物分析分离的原理及技术。肽的结构、蛋白质的一级结构及其测定方法</w:t>
      </w:r>
      <w:r>
        <w:rPr>
          <w:rFonts w:hint="eastAsia"/>
          <w:sz w:val="24"/>
        </w:rPr>
        <w:t>。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</w:t>
      </w:r>
      <w:r>
        <w:rPr>
          <w:sz w:val="24"/>
        </w:rPr>
        <w:t>—</w:t>
      </w:r>
      <w:r>
        <w:rPr>
          <w:sz w:val="24"/>
        </w:rPr>
        <w:t>蛋白质的单体亚基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蛋白质的水解；</w:t>
      </w:r>
      <w:r>
        <w:rPr>
          <w:sz w:val="24"/>
        </w:rPr>
        <w:t>α-</w:t>
      </w:r>
      <w:r>
        <w:rPr>
          <w:sz w:val="24"/>
        </w:rPr>
        <w:t>氨基酸的一般结构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氨基酸的分类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常见的蛋白质氨基酸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氨基酸的酸碱性质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氨基酸的解离；</w:t>
      </w:r>
      <w:r>
        <w:rPr>
          <w:rFonts w:hint="eastAsia"/>
          <w:sz w:val="24"/>
        </w:rPr>
        <w:t>氨基酸的</w:t>
      </w:r>
      <w:r>
        <w:rPr>
          <w:sz w:val="24"/>
        </w:rPr>
        <w:t>等电点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氨基酸的化学反应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羧基参加的反应；</w:t>
      </w:r>
      <w:r>
        <w:rPr>
          <w:sz w:val="24"/>
        </w:rPr>
        <w:t>α-</w:t>
      </w:r>
      <w:r>
        <w:rPr>
          <w:sz w:val="24"/>
        </w:rPr>
        <w:t>氨基参加的反应；</w:t>
      </w:r>
      <w:r>
        <w:rPr>
          <w:sz w:val="24"/>
        </w:rPr>
        <w:t>α-</w:t>
      </w:r>
      <w:r>
        <w:rPr>
          <w:sz w:val="24"/>
        </w:rPr>
        <w:t>氨基和羧基共同参加的反应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氨基酸的旋光性和光谱性质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氨基酸的旋光性和立体化学；氨基酸的光谱性质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氨基酸混合物的分析和分离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分配层析法的一般原理；分配柱层析；纸层析；薄层层析；离子交换层析</w:t>
      </w:r>
      <w:r>
        <w:rPr>
          <w:sz w:val="24"/>
        </w:rPr>
        <w:t xml:space="preserve"> 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肽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肽和肽键的结构；肽的物理和化学性质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蛋白质的组成、分类、分子大小和结构层次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蛋白质的化学组成和分类；蛋白质分子的形状和大小；蛋白质</w:t>
      </w:r>
      <w:r>
        <w:rPr>
          <w:rFonts w:hint="eastAsia"/>
          <w:sz w:val="24"/>
        </w:rPr>
        <w:t>分子</w:t>
      </w:r>
      <w:r>
        <w:rPr>
          <w:sz w:val="24"/>
        </w:rPr>
        <w:t>结构的组织层次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蛋白质的一级结构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蛋白质的氨基酸序列决定蛋白质的功能；蛋白质化学测序的策略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>蛋白质测序的一些常用方法</w:t>
      </w:r>
    </w:p>
    <w:p w:rsidR="003B0A64" w:rsidRDefault="000E64D5">
      <w:pPr>
        <w:spacing w:line="360" w:lineRule="auto"/>
        <w:ind w:left="240" w:firstLine="480"/>
        <w:rPr>
          <w:sz w:val="24"/>
        </w:rPr>
      </w:pPr>
      <w:r>
        <w:rPr>
          <w:sz w:val="24"/>
        </w:rPr>
        <w:t>末端残基分析；二硫键的断裂；氨基酸组成的分析；多肽链的部分裂解；肽段氨基酸序列的测定；肽段在原多肽链中的次序的确定；二硫键位置的确定</w:t>
      </w:r>
    </w:p>
    <w:p w:rsidR="003B0A64" w:rsidRDefault="000E64D5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lastRenderedPageBreak/>
        <w:t xml:space="preserve">11. </w:t>
      </w:r>
      <w:r>
        <w:rPr>
          <w:sz w:val="24"/>
        </w:rPr>
        <w:t>氨基酸序列与生物进化</w:t>
      </w:r>
    </w:p>
    <w:p w:rsidR="003B0A64" w:rsidRDefault="000E64D5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序列的同源性、同源蛋白质和蛋白质家族；同源蛋白质氨基酸序列的物种差异；同源蛋白质具有共同的进化起源</w:t>
      </w:r>
    </w:p>
    <w:p w:rsidR="003B0A64" w:rsidRDefault="003B0A64">
      <w:pPr>
        <w:spacing w:line="360" w:lineRule="auto"/>
        <w:ind w:left="240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蛋白质的三维结构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肽键的性质、蛋白质的二级结构、超二级结构、结构域、三级结构、四级结构和亚基缔合；蛋白质的变性</w:t>
      </w:r>
      <w:r>
        <w:rPr>
          <w:sz w:val="24"/>
        </w:rPr>
        <w:t xml:space="preserve"> 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蛋白质三维结构的概述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蛋白质构象主要由弱相互作用稳定；肽键具有刚性和平面的性质；多肽主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链的折叠受到空间位阻的限制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蛋白质的二级结构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</w:t>
      </w:r>
      <w:r>
        <w:rPr>
          <w:sz w:val="24"/>
        </w:rPr>
        <w:t>螺旋；氨基酸序列影响</w:t>
      </w:r>
      <w:r>
        <w:rPr>
          <w:sz w:val="24"/>
        </w:rPr>
        <w:t>α</w:t>
      </w:r>
      <w:r>
        <w:rPr>
          <w:sz w:val="24"/>
        </w:rPr>
        <w:t>螺旋的稳定性；</w:t>
      </w:r>
      <w:r>
        <w:rPr>
          <w:sz w:val="24"/>
        </w:rPr>
        <w:t>β</w:t>
      </w:r>
      <w:r>
        <w:rPr>
          <w:sz w:val="24"/>
        </w:rPr>
        <w:t>构象；</w:t>
      </w:r>
      <w:r>
        <w:rPr>
          <w:sz w:val="24"/>
        </w:rPr>
        <w:t>β</w:t>
      </w:r>
      <w:r>
        <w:rPr>
          <w:sz w:val="24"/>
        </w:rPr>
        <w:t>转角和</w:t>
      </w:r>
      <w:r>
        <w:rPr>
          <w:sz w:val="24"/>
        </w:rPr>
        <w:t>Ω</w:t>
      </w:r>
      <w:r>
        <w:rPr>
          <w:sz w:val="24"/>
        </w:rPr>
        <w:t>环；无规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卷曲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纤维状蛋白质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角蛋白；丝心蛋白和</w:t>
      </w:r>
      <w:r>
        <w:rPr>
          <w:sz w:val="24"/>
        </w:rPr>
        <w:t>β-</w:t>
      </w:r>
      <w:r>
        <w:rPr>
          <w:sz w:val="24"/>
        </w:rPr>
        <w:t>角蛋白：胶原蛋白；弹性蛋白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蛋白质超二级结构和结构域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超二级结构；结构域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球状蛋白质与三级结构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三级结构的形成；球状蛋白质三级结构的特征；球状蛋白质三级结构</w:t>
      </w:r>
      <w:r>
        <w:rPr>
          <w:sz w:val="24"/>
        </w:rPr>
        <w:t>/</w:t>
      </w:r>
      <w:r>
        <w:rPr>
          <w:sz w:val="24"/>
        </w:rPr>
        <w:t>结构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域的类型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四级结构和亚基缔合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有关四级结构的一些概念；四级缔合的驱动力；亚基相互作用的方式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蛋白质的变性、折叠和结构预测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蛋白质的变性</w:t>
      </w:r>
      <w:r>
        <w:rPr>
          <w:rFonts w:hint="eastAsia"/>
          <w:sz w:val="24"/>
        </w:rPr>
        <w:t>；</w:t>
      </w:r>
      <w:r>
        <w:rPr>
          <w:sz w:val="24"/>
        </w:rPr>
        <w:t>氨基酸序列规定蛋白质的三维结构</w:t>
      </w:r>
      <w:r>
        <w:rPr>
          <w:rFonts w:hint="eastAsia"/>
          <w:sz w:val="24"/>
        </w:rPr>
        <w:t>；</w:t>
      </w:r>
      <w:r>
        <w:rPr>
          <w:sz w:val="24"/>
        </w:rPr>
        <w:t>蛋白质肽链折叠的动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力学和蛋白质结构的预测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671C0F" w:rsidRDefault="00671C0F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第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蛋白质的生物学功能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通过学习血红蛋白、肌红蛋白结构与功能的关系，理解蛋白质结构与功能的关系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蛋白质功能的多样性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sz w:val="24"/>
        </w:rPr>
        <w:t>肌红蛋白：贮存氧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肌红蛋白的三级结构；辅基血红素；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与肌红蛋白的结合；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的结合改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变肌红蛋白的构象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rFonts w:hint="eastAsia"/>
          <w:sz w:val="24"/>
        </w:rPr>
        <w:t>血红</w:t>
      </w:r>
      <w:r>
        <w:rPr>
          <w:sz w:val="24"/>
        </w:rPr>
        <w:t>蛋白：转运氧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血红蛋白的结构；氧结合引起的血红蛋白构象变化；血红蛋白的协同性氧结合（</w:t>
      </w:r>
      <w:r>
        <w:rPr>
          <w:sz w:val="24"/>
        </w:rPr>
        <w:t>Hb</w:t>
      </w:r>
      <w:r>
        <w:rPr>
          <w:sz w:val="24"/>
        </w:rPr>
        <w:t>氧结合曲线）；</w:t>
      </w:r>
      <w:r>
        <w:rPr>
          <w:sz w:val="24"/>
        </w:rPr>
        <w:t>H</w:t>
      </w:r>
      <w:r>
        <w:rPr>
          <w:sz w:val="24"/>
          <w:vertAlign w:val="superscript"/>
        </w:rPr>
        <w:t>+</w:t>
      </w:r>
      <w:r>
        <w:rPr>
          <w:sz w:val="24"/>
        </w:rPr>
        <w:t>、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和</w:t>
      </w:r>
      <w:r>
        <w:rPr>
          <w:sz w:val="24"/>
        </w:rPr>
        <w:t>BPG</w:t>
      </w:r>
      <w:r>
        <w:rPr>
          <w:sz w:val="24"/>
        </w:rPr>
        <w:t>对血红蛋白结合氧的影响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血红蛋白分子病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分子病是遗传的；镰刀状细胞贫血病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4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蛋白质的性质、分离纯化和鉴定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蛋白质酸碱性质、胶体性质和蛋白质沉淀，蛋白质分离纯化的方法与原理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蛋白质在水溶液中的行为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蛋白质的酸碱性质；蛋白质的胶体性质和蛋白质沉淀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>蛋白质分离纯化的一般程序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 </w:t>
      </w:r>
      <w:r>
        <w:rPr>
          <w:sz w:val="24"/>
        </w:rPr>
        <w:t>蛋白质分离纯化的方法</w:t>
      </w:r>
    </w:p>
    <w:p w:rsidR="003B0A64" w:rsidRDefault="000E64D5">
      <w:pPr>
        <w:spacing w:line="360" w:lineRule="auto"/>
        <w:ind w:left="240" w:firstLine="480"/>
        <w:rPr>
          <w:sz w:val="24"/>
        </w:rPr>
      </w:pPr>
      <w:r>
        <w:rPr>
          <w:sz w:val="24"/>
        </w:rPr>
        <w:t>等电点沉淀和盐析、有机溶剂分级分离、透析和超滤、密度梯度超速离心、凝胶过滤、凝胶电泳、等电聚焦和双向电泳、离子交换层析、疏水相互作用层析、亲和层析和高效液相层析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4. </w:t>
      </w:r>
      <w:r>
        <w:rPr>
          <w:sz w:val="24"/>
        </w:rPr>
        <w:t>蛋白质相对分子质量的测定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凝胶过滤法测定相对分子质量、</w:t>
      </w:r>
      <w:r>
        <w:rPr>
          <w:sz w:val="24"/>
        </w:rPr>
        <w:t>SDS-PAGE</w:t>
      </w:r>
      <w:r>
        <w:rPr>
          <w:sz w:val="24"/>
        </w:rPr>
        <w:t>测定相对分子质量和沉降速度法测定相对分子质量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5. </w:t>
      </w:r>
      <w:r>
        <w:rPr>
          <w:sz w:val="24"/>
        </w:rPr>
        <w:t>蛋白质的含量测定与纯度鉴定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酶的催化作用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酶的化学本质及其分类和命名；酶的专一性；酶的活力测定；核酶的概念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酶是生物催化剂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酶与一般催化剂的共同点；酶作为生物催化剂的特点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酶的化学本质及其组成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酶的化学本质；酶的化学组成；单体酶、寡聚酶、多酶复合物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酶的命名和分类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习惯命名法；国际系统命名法；国际系统分类法及酶的编号；六大类酶的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特征和举例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酶的专一性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酶的专一性；有关酶作用的专一性的假说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酶的活力测定和分离纯化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rFonts w:hint="eastAsia"/>
          <w:sz w:val="24"/>
        </w:rPr>
        <w:t>酶活力的测定；酶的分离纯化</w:t>
      </w:r>
    </w:p>
    <w:p w:rsidR="003B0A64" w:rsidRDefault="000E64D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>非蛋白质生物催化剂</w:t>
      </w:r>
      <w:r>
        <w:rPr>
          <w:sz w:val="24"/>
        </w:rPr>
        <w:t>—</w:t>
      </w:r>
      <w:r>
        <w:rPr>
          <w:sz w:val="24"/>
        </w:rPr>
        <w:t>核酶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核酶（</w:t>
      </w:r>
      <w:r>
        <w:rPr>
          <w:sz w:val="24"/>
        </w:rPr>
        <w:t>ribozyme</w:t>
      </w:r>
      <w:r>
        <w:rPr>
          <w:sz w:val="24"/>
        </w:rPr>
        <w:t>）的概念；核酶的种类；核酶的研究意义及应用前景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酶动力学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米氏方程和米氏常数的意义；酶的抑制作用；温度、</w:t>
      </w:r>
      <w:r>
        <w:rPr>
          <w:sz w:val="24"/>
        </w:rPr>
        <w:t>PH</w:t>
      </w:r>
      <w:r>
        <w:rPr>
          <w:sz w:val="24"/>
        </w:rPr>
        <w:t>及激活剂对酶促反应的影响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化学动力学基础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化学反应速率及其测定；反应分子数和反应级数；各级反应特征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底物浓度对酶促反应速率的影响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中间</w:t>
      </w:r>
      <w:r>
        <w:rPr>
          <w:rFonts w:hint="eastAsia"/>
          <w:sz w:val="24"/>
        </w:rPr>
        <w:t>复合物</w:t>
      </w:r>
      <w:r>
        <w:rPr>
          <w:sz w:val="24"/>
        </w:rPr>
        <w:t>学说；酶促反应的动力学方程式；多底物的酶促反应动力学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酶的抑制作用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抑制程度的表示方法；抑制作用的类型；可逆抑制作用和不可逆抑制作用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的鉴别；可逆抑制作用动力学；一些重要的抑制剂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温度对酶促反应的影响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PH</w:t>
      </w:r>
      <w:r>
        <w:rPr>
          <w:sz w:val="24"/>
        </w:rPr>
        <w:t>对酶促反应的影响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激活剂对酶促反应的影响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酶作用机制和酶活性调节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酶活性部位的概念；酶促反应机制及酶活性的别构调节；酶活性的共价调节；同工酶的概念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酶的活性部位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酶活性部位的特点；研究酶活性部位的方法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酶催化反应的独特性质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酶促反应机制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酸碱催化；共价催化；金属离子催化；底物和酶的邻近效应与定向效应；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底物的形变和诱导契合；多元催化和协同效应；活性部位微环境的影响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酶活性的别构调节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酶的别构效应和别构酶的性质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酶活性的共价调节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酶的可逆共价修饰类型；酶的不可逆共价调节</w:t>
      </w:r>
      <w:r>
        <w:rPr>
          <w:sz w:val="24"/>
        </w:rPr>
        <w:t>—</w:t>
      </w:r>
      <w:r>
        <w:rPr>
          <w:sz w:val="24"/>
        </w:rPr>
        <w:t>酶原的激活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同工酶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8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核酸的结构和功能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核酸和核苷酸的组成和结构；</w:t>
      </w:r>
      <w:r>
        <w:rPr>
          <w:sz w:val="24"/>
        </w:rPr>
        <w:t>DNA</w:t>
      </w:r>
      <w:r>
        <w:rPr>
          <w:sz w:val="24"/>
        </w:rPr>
        <w:t>的结构和功能；</w:t>
      </w:r>
      <w:r>
        <w:rPr>
          <w:sz w:val="24"/>
        </w:rPr>
        <w:t>RNA</w:t>
      </w:r>
      <w:r>
        <w:rPr>
          <w:sz w:val="24"/>
        </w:rPr>
        <w:t>的结构与功能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核酸的发现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核酸的种类和分布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核酸的化学组成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DNA</w:t>
      </w:r>
      <w:r>
        <w:rPr>
          <w:sz w:val="24"/>
        </w:rPr>
        <w:t>的结构和功能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RNA</w:t>
      </w:r>
      <w:r>
        <w:rPr>
          <w:sz w:val="24"/>
        </w:rPr>
        <w:t>的结构与功能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核酸的物理化学性质和研究方法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核酸的水解；核酸的紫外吸收；核酸的变性、复性及杂交；核酸的分离纯化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核酸的水解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核酸的酸碱性质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核酸的紫外吸收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核酸的变性、复性和杂交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核酸的分离和纯化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10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维生素和辅酶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维生素的概念、分类及生物学功能；</w:t>
      </w:r>
      <w:r>
        <w:rPr>
          <w:sz w:val="24"/>
        </w:rPr>
        <w:t xml:space="preserve"> B</w:t>
      </w:r>
      <w:r>
        <w:rPr>
          <w:sz w:val="24"/>
        </w:rPr>
        <w:t>族维生素与其相应辅酶的关系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维生素概论</w:t>
      </w:r>
    </w:p>
    <w:p w:rsidR="003B0A64" w:rsidRDefault="000E64D5">
      <w:pPr>
        <w:pStyle w:val="ab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脂溶性维生素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维生素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D</w:t>
      </w:r>
      <w:r>
        <w:rPr>
          <w:sz w:val="24"/>
        </w:rPr>
        <w:t>；维生素</w:t>
      </w:r>
      <w:r>
        <w:rPr>
          <w:sz w:val="24"/>
        </w:rPr>
        <w:t>E</w:t>
      </w:r>
      <w:r>
        <w:rPr>
          <w:sz w:val="24"/>
        </w:rPr>
        <w:t>；维生素</w:t>
      </w:r>
      <w:r>
        <w:rPr>
          <w:sz w:val="24"/>
        </w:rPr>
        <w:t>K</w:t>
      </w:r>
    </w:p>
    <w:p w:rsidR="003B0A64" w:rsidRDefault="000E64D5">
      <w:pPr>
        <w:pStyle w:val="ab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水溶性维生素</w:t>
      </w:r>
    </w:p>
    <w:p w:rsidR="003B0A64" w:rsidRDefault="000E64D5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sz w:val="24"/>
        </w:rPr>
        <w:t>维生素</w:t>
      </w:r>
      <w:r>
        <w:rPr>
          <w:sz w:val="24"/>
        </w:rPr>
        <w:t>B1</w:t>
      </w:r>
      <w:r>
        <w:rPr>
          <w:sz w:val="24"/>
        </w:rPr>
        <w:t>和硫胺素焦磷酸；维生素</w:t>
      </w:r>
      <w:r>
        <w:rPr>
          <w:sz w:val="24"/>
        </w:rPr>
        <w:t>PP</w:t>
      </w:r>
      <w:r>
        <w:rPr>
          <w:sz w:val="24"/>
        </w:rPr>
        <w:t>和烟酰胺辅酶；维生素</w:t>
      </w:r>
      <w:r>
        <w:rPr>
          <w:sz w:val="24"/>
        </w:rPr>
        <w:t>B2</w:t>
      </w:r>
      <w:r>
        <w:rPr>
          <w:sz w:val="24"/>
        </w:rPr>
        <w:t>和黄素辅酶；泛酸和辅酶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B6</w:t>
      </w:r>
      <w:r>
        <w:rPr>
          <w:sz w:val="24"/>
        </w:rPr>
        <w:t>和磷酸吡哆醛、磷酸吡哆胺；维生素</w:t>
      </w:r>
      <w:r>
        <w:rPr>
          <w:sz w:val="24"/>
        </w:rPr>
        <w:t>B12</w:t>
      </w:r>
      <w:r>
        <w:rPr>
          <w:sz w:val="24"/>
        </w:rPr>
        <w:t>（氰钴胺素）及其辅酶；生物素；叶酸和四氢叶酸；硫辛酸；维生素</w:t>
      </w:r>
      <w:r>
        <w:rPr>
          <w:sz w:val="24"/>
        </w:rPr>
        <w:t>C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color w:val="FF0000"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新陈代谢总论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新陈代谢的基本概念和原理；新陈代谢的研究方法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新陈代谢</w:t>
      </w:r>
      <w:r>
        <w:rPr>
          <w:rFonts w:hint="eastAsia"/>
          <w:sz w:val="24"/>
        </w:rPr>
        <w:t>的</w:t>
      </w:r>
      <w:r>
        <w:rPr>
          <w:sz w:val="24"/>
        </w:rPr>
        <w:t>基本概念和原理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新陈代谢的研究方法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生物能学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自由能的概念和标准自由能，生物体内</w:t>
      </w:r>
      <w:r>
        <w:rPr>
          <w:sz w:val="24"/>
        </w:rPr>
        <w:t>ATP</w:t>
      </w:r>
      <w:r>
        <w:rPr>
          <w:sz w:val="24"/>
        </w:rPr>
        <w:t>与磷酰基转移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自由能的概念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标准自由能变化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>3. ATP</w:t>
      </w:r>
      <w:r>
        <w:rPr>
          <w:sz w:val="24"/>
        </w:rPr>
        <w:t>与磷酰基转移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13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六碳糖的分解和</w:t>
      </w:r>
      <w:r>
        <w:rPr>
          <w:b/>
          <w:bCs/>
          <w:sz w:val="24"/>
          <w:lang w:val="zh-CN"/>
        </w:rPr>
        <w:t>糖酵解作用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糖酵解作用的反应机制及能量转变；丙酮酸的去路及糖酵解作用的调节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bookmarkStart w:id="2" w:name="_Hlk107082617"/>
      <w:r>
        <w:rPr>
          <w:sz w:val="24"/>
        </w:rPr>
        <w:t xml:space="preserve">1. </w:t>
      </w:r>
      <w:r>
        <w:rPr>
          <w:sz w:val="24"/>
        </w:rPr>
        <w:t>糖酵解过程概述</w:t>
      </w:r>
    </w:p>
    <w:p w:rsidR="003B0A64" w:rsidRDefault="000E64D5">
      <w:pPr>
        <w:autoSpaceDE w:val="0"/>
        <w:autoSpaceDN w:val="0"/>
        <w:adjustRightInd w:val="0"/>
        <w:spacing w:line="300" w:lineRule="auto"/>
        <w:ind w:firstLineChars="100" w:firstLine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糖酵解第一阶段的反应机制</w:t>
      </w:r>
    </w:p>
    <w:p w:rsidR="003B0A64" w:rsidRDefault="000E64D5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葡萄糖的磷酸化；葡萄糖</w:t>
      </w:r>
      <w:r>
        <w:rPr>
          <w:sz w:val="24"/>
        </w:rPr>
        <w:t>-6-</w:t>
      </w:r>
      <w:r>
        <w:rPr>
          <w:sz w:val="24"/>
        </w:rPr>
        <w:t>磷酸异构化形成果糖</w:t>
      </w:r>
      <w:r>
        <w:rPr>
          <w:sz w:val="24"/>
        </w:rPr>
        <w:t>-6-</w:t>
      </w:r>
      <w:r>
        <w:rPr>
          <w:sz w:val="24"/>
        </w:rPr>
        <w:t>磷酸；果糖</w:t>
      </w:r>
      <w:r>
        <w:rPr>
          <w:sz w:val="24"/>
        </w:rPr>
        <w:t>-6-</w:t>
      </w:r>
      <w:r>
        <w:rPr>
          <w:sz w:val="24"/>
        </w:rPr>
        <w:t>磷酸形成果糖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二磷酸；果糖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二磷酸转变成甘油醛</w:t>
      </w:r>
      <w:r>
        <w:rPr>
          <w:sz w:val="24"/>
        </w:rPr>
        <w:t>-3-</w:t>
      </w:r>
      <w:r>
        <w:rPr>
          <w:sz w:val="24"/>
        </w:rPr>
        <w:t>磷酸和二羟丙酮磷酸；二羟丙酮磷酸转变为甘油醛</w:t>
      </w:r>
      <w:r>
        <w:rPr>
          <w:sz w:val="24"/>
        </w:rPr>
        <w:t>-3-</w:t>
      </w:r>
      <w:r>
        <w:rPr>
          <w:sz w:val="24"/>
        </w:rPr>
        <w:t>磷酸</w:t>
      </w:r>
    </w:p>
    <w:p w:rsidR="003B0A64" w:rsidRDefault="000E64D5">
      <w:pPr>
        <w:autoSpaceDE w:val="0"/>
        <w:autoSpaceDN w:val="0"/>
        <w:adjustRightInd w:val="0"/>
        <w:spacing w:line="300" w:lineRule="auto"/>
        <w:rPr>
          <w:sz w:val="24"/>
        </w:rPr>
      </w:pPr>
      <w:r>
        <w:rPr>
          <w:sz w:val="24"/>
        </w:rPr>
        <w:t xml:space="preserve">  3. </w:t>
      </w:r>
      <w:r>
        <w:rPr>
          <w:rFonts w:hint="eastAsia"/>
          <w:sz w:val="24"/>
        </w:rPr>
        <w:t>糖</w:t>
      </w:r>
      <w:r>
        <w:rPr>
          <w:sz w:val="24"/>
        </w:rPr>
        <w:t>酵解第二阶段的反应机制</w:t>
      </w:r>
    </w:p>
    <w:p w:rsidR="003B0A64" w:rsidRDefault="000E64D5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甘油醛</w:t>
      </w:r>
      <w:r>
        <w:rPr>
          <w:sz w:val="24"/>
        </w:rPr>
        <w:t>-3-</w:t>
      </w:r>
      <w:r>
        <w:rPr>
          <w:sz w:val="24"/>
        </w:rPr>
        <w:t>磷酸氧化成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二磷酸甘油酸；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二磷酸甘油酸转移高能磷酸键基团形成</w:t>
      </w:r>
      <w:r>
        <w:rPr>
          <w:sz w:val="24"/>
        </w:rPr>
        <w:t>ATP</w:t>
      </w:r>
      <w:r>
        <w:rPr>
          <w:sz w:val="24"/>
        </w:rPr>
        <w:t>；</w:t>
      </w:r>
      <w:r>
        <w:rPr>
          <w:sz w:val="24"/>
        </w:rPr>
        <w:t>3-</w:t>
      </w:r>
      <w:r>
        <w:rPr>
          <w:sz w:val="24"/>
        </w:rPr>
        <w:t>磷酸甘油酸转变为</w:t>
      </w:r>
      <w:r>
        <w:rPr>
          <w:sz w:val="24"/>
        </w:rPr>
        <w:t>2-</w:t>
      </w:r>
      <w:r>
        <w:rPr>
          <w:sz w:val="24"/>
        </w:rPr>
        <w:t>二磷酸甘油酸；</w:t>
      </w:r>
      <w:r>
        <w:rPr>
          <w:sz w:val="24"/>
        </w:rPr>
        <w:t>2-</w:t>
      </w:r>
      <w:r>
        <w:rPr>
          <w:sz w:val="24"/>
        </w:rPr>
        <w:t>二磷酸甘油酸脱水生成磷酸烯醇式丙酮酸；磷酸烯醇式丙酮酸转变成丙酮酸并产生一个</w:t>
      </w:r>
      <w:r>
        <w:rPr>
          <w:sz w:val="24"/>
        </w:rPr>
        <w:t>ATP</w:t>
      </w:r>
      <w:r>
        <w:rPr>
          <w:sz w:val="24"/>
        </w:rPr>
        <w:t>分子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由葡萄糖转变为两分子丙酮酸能量转变的估算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丙酮酸的去路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糖酵解作用的调节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磷酸果糖激酶是关键酶；</w:t>
      </w:r>
      <w:r>
        <w:rPr>
          <w:sz w:val="24"/>
        </w:rPr>
        <w:t xml:space="preserve"> 2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二磷酸果糖对酵解的调节作用；己糖激酶和丙酮酸激酶对糖酵解的调节作用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</w:t>
      </w:r>
    </w:p>
    <w:bookmarkEnd w:id="2"/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14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  <w:lang w:val="zh-CN"/>
        </w:rPr>
        <w:t xml:space="preserve"> </w:t>
      </w:r>
      <w:r>
        <w:rPr>
          <w:b/>
          <w:bCs/>
          <w:sz w:val="24"/>
          <w:lang w:val="zh-CN"/>
        </w:rPr>
        <w:t>柠檬酸循环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丙酮酸的脱氢脱羧过程及柠檬酸循环过程；能量转换及调控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丙酮酸转化成乙酰辅酶</w:t>
      </w:r>
      <w:r>
        <w:rPr>
          <w:sz w:val="24"/>
        </w:rPr>
        <w:t>A</w:t>
      </w:r>
      <w:r>
        <w:rPr>
          <w:sz w:val="24"/>
        </w:rPr>
        <w:t>的过程</w:t>
      </w:r>
    </w:p>
    <w:p w:rsidR="003B0A64" w:rsidRDefault="000E64D5">
      <w:pPr>
        <w:spacing w:line="360" w:lineRule="auto"/>
        <w:ind w:left="240"/>
        <w:rPr>
          <w:sz w:val="24"/>
          <w:lang w:val="zh-CN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柠檬酸循环</w:t>
      </w:r>
    </w:p>
    <w:p w:rsidR="003B0A64" w:rsidRDefault="000E64D5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草酰乙酸与乙酰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缩合形成柠檬酸；柠檬酸异构化形成异柠檬酸；异柠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檬酸氧化形成</w:t>
      </w:r>
      <w:r>
        <w:rPr>
          <w:sz w:val="24"/>
        </w:rPr>
        <w:t>α-</w:t>
      </w:r>
      <w:r>
        <w:rPr>
          <w:sz w:val="24"/>
        </w:rPr>
        <w:t>酮戊二酸；</w:t>
      </w:r>
      <w:r>
        <w:rPr>
          <w:sz w:val="24"/>
        </w:rPr>
        <w:t>α-</w:t>
      </w:r>
      <w:r>
        <w:rPr>
          <w:sz w:val="24"/>
        </w:rPr>
        <w:t>酮戊二酸氧化脱羧形成琥珀酰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；琥珀酰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转化成琥珀酸并产生一个高能磷酸键；琥珀酸脱氢形成延胡索酸；延胡索酸水合形成</w:t>
      </w:r>
      <w:r>
        <w:rPr>
          <w:sz w:val="24"/>
        </w:rPr>
        <w:t>L-</w:t>
      </w:r>
      <w:r>
        <w:rPr>
          <w:sz w:val="24"/>
        </w:rPr>
        <w:t>苹果酸；</w:t>
      </w:r>
      <w:r>
        <w:rPr>
          <w:sz w:val="24"/>
        </w:rPr>
        <w:t>L-</w:t>
      </w:r>
      <w:r>
        <w:rPr>
          <w:sz w:val="24"/>
        </w:rPr>
        <w:t>苹果酸脱氢形成草酰乙酸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柠檬酸循环的化学总结算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柠檬酸循环的调控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柠檬酸循环在代谢中的双重角色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乙醛酸途径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15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氧化磷酸化作用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电子传递和氧化磷酸化作用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氧化还原电势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氧化</w:t>
      </w:r>
      <w:r>
        <w:rPr>
          <w:sz w:val="24"/>
        </w:rPr>
        <w:t>-</w:t>
      </w:r>
      <w:r>
        <w:rPr>
          <w:sz w:val="24"/>
        </w:rPr>
        <w:t>还原电势；生物体中某些重要的氧化</w:t>
      </w:r>
      <w:r>
        <w:rPr>
          <w:sz w:val="24"/>
        </w:rPr>
        <w:t>-</w:t>
      </w:r>
      <w:r>
        <w:rPr>
          <w:sz w:val="24"/>
        </w:rPr>
        <w:t>还原电势；电势和自由能的关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系；标准电动势和平衡常数的关系</w:t>
      </w:r>
    </w:p>
    <w:p w:rsidR="003B0A64" w:rsidRDefault="000E64D5">
      <w:pPr>
        <w:pStyle w:val="ab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电子传递和氧化呼吸链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呼吸链概念的建立；电子传递链；电子传递</w:t>
      </w:r>
      <w:r>
        <w:rPr>
          <w:rFonts w:hint="eastAsia"/>
          <w:sz w:val="24"/>
        </w:rPr>
        <w:t>过程</w:t>
      </w:r>
      <w:r>
        <w:rPr>
          <w:sz w:val="24"/>
        </w:rPr>
        <w:t>；电子传递的抑制剂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氧化磷酸化作用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氧化磷酸化作用机制；质子梯度的形成；</w:t>
      </w:r>
      <w:r>
        <w:rPr>
          <w:sz w:val="24"/>
        </w:rPr>
        <w:t>ATP</w:t>
      </w:r>
      <w:r>
        <w:rPr>
          <w:sz w:val="24"/>
        </w:rPr>
        <w:t>合成机制；氧化磷酸化的解偶联和抑制；细胞溶胶内</w:t>
      </w:r>
      <w:r>
        <w:rPr>
          <w:sz w:val="24"/>
        </w:rPr>
        <w:t>NADH</w:t>
      </w:r>
      <w:r>
        <w:rPr>
          <w:sz w:val="24"/>
        </w:rPr>
        <w:t>的再氧化；氧化磷酸化的调控；一个葡萄糖分子彻底氧化产生</w:t>
      </w:r>
      <w:r>
        <w:rPr>
          <w:sz w:val="24"/>
        </w:rPr>
        <w:t>ATP</w:t>
      </w:r>
      <w:r>
        <w:rPr>
          <w:sz w:val="24"/>
        </w:rPr>
        <w:t>分子数的总结算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16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戊糖磷酸途径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戊糖磷酸途径及其生物需意义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戊糖磷酸途径的主要反应</w:t>
      </w:r>
    </w:p>
    <w:p w:rsidR="003B0A64" w:rsidRDefault="000E64D5">
      <w:pPr>
        <w:pStyle w:val="ab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戊糖磷酸途径反应速率的调控</w:t>
      </w:r>
    </w:p>
    <w:p w:rsidR="003B0A64" w:rsidRDefault="000E64D5">
      <w:pPr>
        <w:pStyle w:val="ab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戊糖磷酸途径的生物学意义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  <w:bookmarkStart w:id="3" w:name="_Hlk72097519"/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17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糖异生和糖的其他代谢途径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糖异生作用的途径及其调控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bookmarkEnd w:id="3"/>
    <w:p w:rsidR="003B0A64" w:rsidRDefault="000E64D5">
      <w:pPr>
        <w:pStyle w:val="ab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糖异生作用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糖异生作用的途径；糖异生途径总览；由丙酮酸形成葡萄糖的能量消耗及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意义；糖异生作用的调节；乳酸的再利用和可立氏循环</w:t>
      </w:r>
    </w:p>
    <w:p w:rsidR="003B0A64" w:rsidRDefault="000E64D5">
      <w:pPr>
        <w:pStyle w:val="ab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乙醛酸途径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18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糖原的分解和生物合成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糖原的降解和合成过程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糖原的生物学意义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糖原的降解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糖原磷酸化酶；糖原脱支酶；磷酸葡萄糖变位酶的作用；</w:t>
      </w:r>
      <w:r>
        <w:rPr>
          <w:sz w:val="24"/>
        </w:rPr>
        <w:t>6-</w:t>
      </w:r>
      <w:r>
        <w:rPr>
          <w:sz w:val="24"/>
        </w:rPr>
        <w:t>磷酸葡糖磷酸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酶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催化糖原合成的三种酶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糖原代谢的调控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糖原磷酸化酶的调节机制；糖原合酶的调节机制；</w:t>
      </w:r>
      <w:r>
        <w:rPr>
          <w:sz w:val="24"/>
        </w:rPr>
        <w:t xml:space="preserve"> G</w:t>
      </w:r>
      <w:r>
        <w:rPr>
          <w:sz w:val="24"/>
        </w:rPr>
        <w:t>蛋白及其对激素信号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lastRenderedPageBreak/>
        <w:t>的传递作用</w:t>
      </w:r>
      <w:r>
        <w:rPr>
          <w:sz w:val="24"/>
        </w:rPr>
        <w:t xml:space="preserve">  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19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脂质的代谢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脂肪酸的氧化；不饱和脂肪酸的氧</w:t>
      </w:r>
      <w:r>
        <w:rPr>
          <w:rFonts w:hint="eastAsia"/>
          <w:sz w:val="24"/>
        </w:rPr>
        <w:t>化</w:t>
      </w:r>
      <w:r>
        <w:rPr>
          <w:sz w:val="24"/>
        </w:rPr>
        <w:t>；酮体的生成；脂质的生物合成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脂肪酸的氧化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脂肪酸的活化；脂肪酸转入线粒体；</w:t>
      </w:r>
      <w:r>
        <w:rPr>
          <w:sz w:val="24"/>
        </w:rPr>
        <w:t>β-</w:t>
      </w:r>
      <w:r>
        <w:rPr>
          <w:sz w:val="24"/>
        </w:rPr>
        <w:t>氧化；脂肪酸氧化是高度放能过程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不饱和脂肪酸的氧化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不饱和脂肪酸的氧化；奇数碳原子脂肪酸的氧化生成丙酰</w:t>
      </w:r>
      <w:r>
        <w:rPr>
          <w:sz w:val="24"/>
        </w:rPr>
        <w:t>-CoA</w:t>
      </w:r>
      <w:r>
        <w:rPr>
          <w:sz w:val="24"/>
        </w:rPr>
        <w:t>；脂肪酸还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可发生</w:t>
      </w:r>
      <w:r>
        <w:rPr>
          <w:sz w:val="24"/>
        </w:rPr>
        <w:t>α-</w:t>
      </w:r>
      <w:r>
        <w:rPr>
          <w:sz w:val="24"/>
        </w:rPr>
        <w:t>或</w:t>
      </w:r>
      <w:r>
        <w:rPr>
          <w:sz w:val="24"/>
        </w:rPr>
        <w:t>ω-</w:t>
      </w:r>
      <w:r>
        <w:rPr>
          <w:sz w:val="24"/>
        </w:rPr>
        <w:t>氧化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酮体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的代谢结局；肝中酮体的形成；肝外组织使用酮体作为燃料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脂肪酸代谢的调节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脂质的生物合成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贮存脂肪；脂肪酸的生物合成；脂酰甘油的生物合成；磷脂类的生物合成；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其他脂类的生物合成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20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蛋白质降解和氨基酸的分解代谢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蛋白质的降解，氨基酸的分解代谢、尿素的形成过程；氨基酸碳骨架的氧化途径；生糖氨基酸和生酮氨基酸；氨基酸与一碳单位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蛋白质降解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蛋白质降解的特性；蛋白质的降解的反应机制；机体对外源蛋白质的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需要及其消化作用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氨基酸的分解代谢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氨基酸的脱氨基作用；氧化脱氨基作用：其他</w:t>
      </w:r>
      <w:r>
        <w:rPr>
          <w:rFonts w:hint="eastAsia"/>
          <w:sz w:val="24"/>
        </w:rPr>
        <w:t>的</w:t>
      </w:r>
      <w:r>
        <w:rPr>
          <w:sz w:val="24"/>
        </w:rPr>
        <w:t>脱氨基作用；联合脱氨基作用；氨基酸的脱羧基作用；氨的命运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尿素的形成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lastRenderedPageBreak/>
        <w:t>尿素循环的发现；尿素循环；尿素循环的调节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氨基酸碳骨架的氧化途径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形成乙酰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的途径；</w:t>
      </w:r>
      <w:r>
        <w:rPr>
          <w:sz w:val="24"/>
        </w:rPr>
        <w:t>α-</w:t>
      </w:r>
      <w:r>
        <w:rPr>
          <w:sz w:val="24"/>
        </w:rPr>
        <w:t>酮戊二酸途径；形成琥珀酰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的途径；形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成延胡索酸途径；形成草酰乙酸途径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生糖氨基酸和生酮氨基酸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由氨基酸衍生的其他重要物质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氨基酸与一碳单位；氨基酸与生物活性物质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21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氨基酸的生物合成和生物固氮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氨的同化作用</w:t>
      </w:r>
      <w:r>
        <w:rPr>
          <w:rFonts w:hint="eastAsia"/>
          <w:sz w:val="24"/>
        </w:rPr>
        <w:t>—</w:t>
      </w:r>
      <w:r>
        <w:rPr>
          <w:sz w:val="24"/>
        </w:rPr>
        <w:t>氨通过谷氨酸和谷氨酰胺掺入生物分子</w:t>
      </w:r>
    </w:p>
    <w:p w:rsidR="003B0A64" w:rsidRDefault="000E64D5">
      <w:pPr>
        <w:pStyle w:val="ab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由</w:t>
      </w:r>
      <w:r>
        <w:rPr>
          <w:sz w:val="24"/>
        </w:rPr>
        <w:t>α-</w:t>
      </w:r>
      <w:r>
        <w:rPr>
          <w:sz w:val="24"/>
        </w:rPr>
        <w:t>酮戊二酸形成的氨基酸</w:t>
      </w:r>
      <w:r>
        <w:rPr>
          <w:sz w:val="24"/>
        </w:rPr>
        <w:t>—</w:t>
      </w:r>
      <w:r>
        <w:rPr>
          <w:sz w:val="24"/>
        </w:rPr>
        <w:t>谷氨酸、谷氨酰胺、脯氨酸、精氨酸、赖氨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酸；由草酰乙酸形成的氨基酸</w:t>
      </w:r>
      <w:r>
        <w:rPr>
          <w:sz w:val="24"/>
        </w:rPr>
        <w:t>—</w:t>
      </w:r>
      <w:r>
        <w:rPr>
          <w:sz w:val="24"/>
        </w:rPr>
        <w:t>天冬氨酸、天冬酰胺、甲硫氨酸、苏氨酸、赖氨酸；由丙酮酸族的氨基酸</w:t>
      </w:r>
      <w:r>
        <w:rPr>
          <w:sz w:val="24"/>
        </w:rPr>
        <w:t>—</w:t>
      </w:r>
      <w:r>
        <w:rPr>
          <w:sz w:val="24"/>
        </w:rPr>
        <w:t>丙氨酸、缬氨酸、亮氨酸；丝氨酸族的氨基酸</w:t>
      </w:r>
      <w:r>
        <w:rPr>
          <w:sz w:val="24"/>
        </w:rPr>
        <w:t>—</w:t>
      </w:r>
      <w:r>
        <w:rPr>
          <w:sz w:val="24"/>
        </w:rPr>
        <w:t>丝氨酸、甘氨酸、半胱氨酸；芳香族氨基酸及组氨酸的生物合成</w:t>
      </w:r>
    </w:p>
    <w:p w:rsidR="003B0A64" w:rsidRDefault="000E64D5">
      <w:pPr>
        <w:pStyle w:val="ab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氨基酸生物合成的调节</w:t>
      </w:r>
    </w:p>
    <w:p w:rsidR="003B0A64" w:rsidRDefault="003B0A64">
      <w:pPr>
        <w:pStyle w:val="ab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  <w:lang w:val="zh-CN"/>
        </w:rPr>
      </w:pPr>
    </w:p>
    <w:p w:rsidR="003B0A64" w:rsidRDefault="000E64D5">
      <w:pPr>
        <w:pStyle w:val="ab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核酸的降解和核苷酸代谢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核酸和核苷酸的分解代谢，核苷酸的生物合成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核酸和核苷酸的分解代谢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核酸的降解；核苷酸的分解；嘌呤碱的分解；嘧啶碱的分解</w:t>
      </w:r>
    </w:p>
    <w:p w:rsidR="003B0A64" w:rsidRDefault="000E64D5">
      <w:pPr>
        <w:pStyle w:val="ab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核苷酸的生物合成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嘌呤核糖核苷酸的合成；嘧啶核糖核苷酸的合成；核苷一磷酸转变成核苷</w:t>
      </w:r>
    </w:p>
    <w:p w:rsidR="003B0A64" w:rsidRPr="00671C0F" w:rsidRDefault="000E64D5">
      <w:pPr>
        <w:spacing w:line="360" w:lineRule="auto"/>
        <w:rPr>
          <w:sz w:val="24"/>
        </w:rPr>
      </w:pPr>
      <w:r>
        <w:rPr>
          <w:sz w:val="24"/>
        </w:rPr>
        <w:t>三磷酸；脱氧核糖核苷酸的合成</w:t>
      </w:r>
    </w:p>
    <w:sectPr w:rsidR="003B0A64" w:rsidRPr="00671C0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A2" w:rsidRDefault="004B5AA2">
      <w:r>
        <w:separator/>
      </w:r>
    </w:p>
  </w:endnote>
  <w:endnote w:type="continuationSeparator" w:id="0">
    <w:p w:rsidR="004B5AA2" w:rsidRDefault="004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64" w:rsidRDefault="000E64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0A64" w:rsidRDefault="000E64D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1B5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B0A64" w:rsidRDefault="000E64D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1B5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A2" w:rsidRDefault="004B5AA2">
      <w:r>
        <w:separator/>
      </w:r>
    </w:p>
  </w:footnote>
  <w:footnote w:type="continuationSeparator" w:id="0">
    <w:p w:rsidR="004B5AA2" w:rsidRDefault="004B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150"/>
    <w:multiLevelType w:val="multilevel"/>
    <w:tmpl w:val="032721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1A5C6F22"/>
    <w:multiLevelType w:val="multilevel"/>
    <w:tmpl w:val="1A5C6F2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E4E4589"/>
    <w:multiLevelType w:val="multilevel"/>
    <w:tmpl w:val="1E4E458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30D6942"/>
    <w:multiLevelType w:val="multilevel"/>
    <w:tmpl w:val="230D6942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47A1E67"/>
    <w:multiLevelType w:val="multilevel"/>
    <w:tmpl w:val="247A1E67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34CC329B"/>
    <w:multiLevelType w:val="multilevel"/>
    <w:tmpl w:val="34CC329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64D6291"/>
    <w:multiLevelType w:val="multilevel"/>
    <w:tmpl w:val="364D629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0E55B3"/>
    <w:multiLevelType w:val="multilevel"/>
    <w:tmpl w:val="3B0E55B3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3C84417B"/>
    <w:multiLevelType w:val="multilevel"/>
    <w:tmpl w:val="3C84417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FA56E5F"/>
    <w:multiLevelType w:val="multilevel"/>
    <w:tmpl w:val="3FA56E5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46DB0371"/>
    <w:multiLevelType w:val="multilevel"/>
    <w:tmpl w:val="46DB037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1" w15:restartNumberingAfterBreak="0">
    <w:nsid w:val="6839190D"/>
    <w:multiLevelType w:val="multilevel"/>
    <w:tmpl w:val="6839190D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8EA3770"/>
    <w:multiLevelType w:val="multilevel"/>
    <w:tmpl w:val="68EA37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713D0750"/>
    <w:multiLevelType w:val="multilevel"/>
    <w:tmpl w:val="713D07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71650749"/>
    <w:multiLevelType w:val="multilevel"/>
    <w:tmpl w:val="7165074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5" w15:restartNumberingAfterBreak="0">
    <w:nsid w:val="799C395A"/>
    <w:multiLevelType w:val="multilevel"/>
    <w:tmpl w:val="799C395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7F48367F"/>
    <w:multiLevelType w:val="multilevel"/>
    <w:tmpl w:val="7F48367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zdmMDI3ZmQyMDY3NzU1NWJkZGIwNjc4ZDM1ZjQifQ=="/>
  </w:docVars>
  <w:rsids>
    <w:rsidRoot w:val="00700A2B"/>
    <w:rsid w:val="000C3E54"/>
    <w:rsid w:val="000E4845"/>
    <w:rsid w:val="000E64D5"/>
    <w:rsid w:val="001848F7"/>
    <w:rsid w:val="002078D5"/>
    <w:rsid w:val="00272D74"/>
    <w:rsid w:val="002C6347"/>
    <w:rsid w:val="00362601"/>
    <w:rsid w:val="00381CFA"/>
    <w:rsid w:val="003B0A64"/>
    <w:rsid w:val="004B5AA2"/>
    <w:rsid w:val="00537F5E"/>
    <w:rsid w:val="00563D16"/>
    <w:rsid w:val="0061065B"/>
    <w:rsid w:val="00671C0F"/>
    <w:rsid w:val="006B5AD1"/>
    <w:rsid w:val="006C7E58"/>
    <w:rsid w:val="00700A2B"/>
    <w:rsid w:val="00732CA7"/>
    <w:rsid w:val="007E51CD"/>
    <w:rsid w:val="00924899"/>
    <w:rsid w:val="00B63E5B"/>
    <w:rsid w:val="00BC53A7"/>
    <w:rsid w:val="00CB1B56"/>
    <w:rsid w:val="00CD70F5"/>
    <w:rsid w:val="00CE7566"/>
    <w:rsid w:val="00D51120"/>
    <w:rsid w:val="00E916DD"/>
    <w:rsid w:val="00FB1FF6"/>
    <w:rsid w:val="13605DBA"/>
    <w:rsid w:val="2D654973"/>
    <w:rsid w:val="3233584F"/>
    <w:rsid w:val="5A400A6B"/>
    <w:rsid w:val="5C077D16"/>
    <w:rsid w:val="665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46674"/>
  <w15:docId w15:val="{074B2124-38BE-4F13-8506-DBB76D9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a8"/>
    <w:rPr>
      <w:b/>
      <w:bCs/>
    </w:rPr>
  </w:style>
  <w:style w:type="character" w:styleId="a9">
    <w:name w:val="Strong"/>
    <w:qFormat/>
    <w:rPr>
      <w:b/>
      <w:bCs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批注主题 字符"/>
    <w:basedOn w:val="a4"/>
    <w:link w:val="a7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孔维宝</cp:lastModifiedBy>
  <cp:revision>15</cp:revision>
  <dcterms:created xsi:type="dcterms:W3CDTF">2022-06-21T08:55:00Z</dcterms:created>
  <dcterms:modified xsi:type="dcterms:W3CDTF">2024-07-09T16:02:00Z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1B0ED70CA9F7496299209D857163D385</vt:lpwstr>
  </property>
</Properties>
</file>