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16B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eastAsia="黑体"/>
          <w:sz w:val="32"/>
          <w:szCs w:val="32"/>
        </w:rPr>
      </w:pPr>
      <w:bookmarkStart w:id="3" w:name="_GoBack"/>
      <w:bookmarkEnd w:id="3"/>
      <w:r>
        <w:rPr>
          <w:rFonts w:hint="eastAsia" w:ascii="黑体" w:eastAsia="黑体"/>
          <w:sz w:val="32"/>
          <w:szCs w:val="32"/>
          <w:lang w:val="en-US" w:eastAsia="zh-CN"/>
        </w:rPr>
        <w:t>962</w:t>
      </w:r>
      <w:r>
        <w:rPr>
          <w:rFonts w:hint="eastAsia" w:ascii="黑体" w:eastAsia="黑体"/>
          <w:sz w:val="32"/>
          <w:szCs w:val="32"/>
        </w:rPr>
        <w:t>-设计创意</w:t>
      </w:r>
    </w:p>
    <w:p w14:paraId="0F6EFD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宋体" w:eastAsia="黑体"/>
          <w:szCs w:val="21"/>
        </w:rPr>
      </w:pPr>
      <w:bookmarkStart w:id="0" w:name="_Toc267168190"/>
    </w:p>
    <w:p w14:paraId="3B74007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bCs/>
          <w:szCs w:val="21"/>
        </w:rPr>
      </w:pPr>
      <w:r>
        <w:rPr>
          <w:rFonts w:hint="eastAsia" w:ascii="黑体" w:eastAsia="黑体"/>
          <w:bCs/>
          <w:szCs w:val="21"/>
        </w:rPr>
        <w:t>一、考试目标</w:t>
      </w:r>
      <w:bookmarkEnd w:id="0"/>
    </w:p>
    <w:p w14:paraId="17584A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《设计创意》考试是为招收</w:t>
      </w:r>
      <w:r>
        <w:rPr>
          <w:rFonts w:ascii="Calibri" w:hAnsi="宋体"/>
          <w:szCs w:val="21"/>
        </w:rPr>
        <w:t>设计学</w:t>
      </w:r>
      <w:r>
        <w:rPr>
          <w:rFonts w:hint="eastAsia" w:ascii="Calibri" w:hAnsi="宋体"/>
          <w:szCs w:val="21"/>
        </w:rPr>
        <w:t>学术</w:t>
      </w:r>
      <w:r>
        <w:rPr>
          <w:rFonts w:ascii="Calibri" w:hAnsi="宋体"/>
          <w:szCs w:val="21"/>
        </w:rPr>
        <w:t>硕士</w:t>
      </w:r>
      <w:r>
        <w:rPr>
          <w:rFonts w:hint="eastAsia" w:ascii="Calibri" w:hAnsi="宋体"/>
          <w:szCs w:val="21"/>
        </w:rPr>
        <w:t>和机械类别工业设计工程方向的专业硕士</w:t>
      </w:r>
      <w:r>
        <w:rPr>
          <w:rFonts w:hint="eastAsia"/>
          <w:szCs w:val="21"/>
        </w:rPr>
        <w:t>而设置的具有选拔性质的考试科目，其目的是科学、公平、有效地测试考生是否具备攻读硕士所必须的基本素质、创新能力和培养潜能，</w:t>
      </w:r>
      <w:r>
        <w:rPr>
          <w:szCs w:val="21"/>
        </w:rPr>
        <w:t>为国家的经济建设培养具有良好</w:t>
      </w:r>
      <w:r>
        <w:rPr>
          <w:rFonts w:hint="eastAsia"/>
          <w:szCs w:val="21"/>
        </w:rPr>
        <w:t>专业基础和创意思维</w:t>
      </w:r>
      <w:r>
        <w:rPr>
          <w:szCs w:val="21"/>
        </w:rPr>
        <w:t>、具有较强分析与解决实际问题能力的高层次、应用型、复合型的</w:t>
      </w:r>
      <w:r>
        <w:rPr>
          <w:rFonts w:hint="eastAsia"/>
          <w:szCs w:val="21"/>
        </w:rPr>
        <w:t>设计</w:t>
      </w:r>
      <w:r>
        <w:rPr>
          <w:szCs w:val="21"/>
        </w:rPr>
        <w:t>专业人才。</w:t>
      </w:r>
    </w:p>
    <w:p w14:paraId="009718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r>
        <w:rPr>
          <w:rFonts w:hint="eastAsia"/>
          <w:szCs w:val="21"/>
        </w:rPr>
        <w:t>具体来说。要求考生：</w:t>
      </w:r>
    </w:p>
    <w:p w14:paraId="777414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ascii="Calibri" w:hAnsi="Calibri"/>
          <w:szCs w:val="21"/>
        </w:rPr>
        <w:t xml:space="preserve">1. </w:t>
      </w:r>
      <w:r>
        <w:rPr>
          <w:rFonts w:hint="eastAsia" w:ascii="Calibri" w:hAnsi="Calibri"/>
          <w:szCs w:val="21"/>
        </w:rPr>
        <w:t>掌</w:t>
      </w:r>
      <w:r>
        <w:rPr>
          <w:rFonts w:hint="eastAsia"/>
          <w:szCs w:val="21"/>
        </w:rPr>
        <w:t>握创意思维的基本方法。</w:t>
      </w:r>
    </w:p>
    <w:p w14:paraId="22F371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ascii="Calibri" w:hAnsi="Calibri"/>
          <w:szCs w:val="21"/>
        </w:rPr>
        <w:t xml:space="preserve">2. </w:t>
      </w:r>
      <w:r>
        <w:rPr>
          <w:rFonts w:hint="eastAsia"/>
          <w:szCs w:val="21"/>
        </w:rPr>
        <w:t>掌握产品设计的基本原理和方法。</w:t>
      </w:r>
    </w:p>
    <w:p w14:paraId="3100E2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ascii="Calibri" w:hAnsi="Calibri"/>
          <w:szCs w:val="21"/>
        </w:rPr>
        <w:t>3.</w:t>
      </w:r>
      <w:r>
        <w:rPr>
          <w:rFonts w:hint="eastAsia" w:ascii="Calibri" w:hAnsi="Calibri"/>
          <w:szCs w:val="21"/>
        </w:rPr>
        <w:t xml:space="preserve"> </w:t>
      </w:r>
      <w:r>
        <w:rPr>
          <w:rFonts w:hint="eastAsia"/>
          <w:szCs w:val="21"/>
        </w:rPr>
        <w:t>掌握了基本的产品分析知识。</w:t>
      </w:r>
    </w:p>
    <w:p w14:paraId="1B1CB3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ascii="Calibri" w:hAnsi="Calibri"/>
          <w:szCs w:val="21"/>
        </w:rPr>
        <w:t>4.</w:t>
      </w:r>
      <w:r>
        <w:rPr>
          <w:rFonts w:hint="eastAsia" w:ascii="Calibri" w:hAnsi="Calibri"/>
          <w:szCs w:val="21"/>
        </w:rPr>
        <w:t xml:space="preserve"> s</w:t>
      </w:r>
      <w:r>
        <w:rPr>
          <w:rFonts w:hint="eastAsia"/>
          <w:szCs w:val="21"/>
        </w:rPr>
        <w:t>具有运用绘图工具完成设计表现的能力。</w:t>
      </w:r>
    </w:p>
    <w:p w14:paraId="7B8BB4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Cs w:val="21"/>
        </w:rPr>
      </w:pPr>
    </w:p>
    <w:p w14:paraId="5D51BC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bCs/>
          <w:szCs w:val="21"/>
        </w:rPr>
      </w:pPr>
      <w:bookmarkStart w:id="1" w:name="_Toc267168191"/>
      <w:r>
        <w:rPr>
          <w:rFonts w:hint="eastAsia" w:ascii="黑体" w:eastAsia="黑体"/>
          <w:bCs/>
          <w:szCs w:val="21"/>
        </w:rPr>
        <w:t>二、考试</w:t>
      </w:r>
      <w:bookmarkEnd w:id="1"/>
      <w:r>
        <w:rPr>
          <w:rFonts w:hint="eastAsia" w:ascii="黑体" w:eastAsia="黑体"/>
          <w:bCs/>
          <w:szCs w:val="21"/>
        </w:rPr>
        <w:t>要求</w:t>
      </w:r>
    </w:p>
    <w:p w14:paraId="286C04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ascii="Calibri" w:hAnsi="Calibri"/>
          <w:szCs w:val="21"/>
        </w:rPr>
        <w:t xml:space="preserve">1. </w:t>
      </w:r>
      <w:r>
        <w:rPr>
          <w:rFonts w:hint="eastAsia"/>
          <w:szCs w:val="21"/>
        </w:rPr>
        <w:t>试卷满分及考试时间</w:t>
      </w:r>
    </w:p>
    <w:p w14:paraId="27A855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试卷满分</w:t>
      </w:r>
      <w:r>
        <w:rPr>
          <w:rFonts w:hint="eastAsia" w:ascii="Calibri" w:hAnsi="Calibri"/>
          <w:szCs w:val="21"/>
        </w:rPr>
        <w:t>为150</w:t>
      </w:r>
      <w:r>
        <w:rPr>
          <w:rFonts w:hint="eastAsia"/>
          <w:szCs w:val="21"/>
        </w:rPr>
        <w:t>分，考</w:t>
      </w:r>
      <w:r>
        <w:rPr>
          <w:rFonts w:hint="eastAsia" w:ascii="Calibri" w:hAnsi="Calibri"/>
          <w:szCs w:val="21"/>
        </w:rPr>
        <w:t>试时间180</w:t>
      </w:r>
      <w:r>
        <w:rPr>
          <w:rFonts w:hint="eastAsia"/>
          <w:szCs w:val="21"/>
        </w:rPr>
        <w:t>分钟。</w:t>
      </w:r>
    </w:p>
    <w:p w14:paraId="45142B8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ascii="Calibri" w:hAnsi="Calibri"/>
          <w:szCs w:val="21"/>
        </w:rPr>
        <w:t>2. 答</w:t>
      </w:r>
      <w:r>
        <w:rPr>
          <w:rFonts w:hint="eastAsia"/>
          <w:szCs w:val="21"/>
        </w:rPr>
        <w:t>题方式</w:t>
      </w:r>
    </w:p>
    <w:p w14:paraId="2370825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szCs w:val="21"/>
        </w:rPr>
        <w:t>答题</w:t>
      </w:r>
      <w:r>
        <w:rPr>
          <w:rFonts w:hint="eastAsia" w:ascii="Calibri" w:hAnsi="Calibri"/>
          <w:szCs w:val="21"/>
        </w:rPr>
        <w:t>方式为闭卷、笔试。</w:t>
      </w:r>
      <w:r>
        <w:rPr>
          <w:rFonts w:hint="eastAsia" w:ascii="Calibri" w:hAnsi="Calibri"/>
          <w:szCs w:val="21"/>
          <w:lang w:val="en-US" w:eastAsia="zh-CN"/>
        </w:rPr>
        <w:t>需要</w:t>
      </w:r>
      <w:r>
        <w:rPr>
          <w:rFonts w:hint="eastAsia" w:ascii="Calibri" w:hAnsi="Calibri"/>
          <w:szCs w:val="21"/>
        </w:rPr>
        <w:t>使用</w:t>
      </w:r>
      <w:r>
        <w:rPr>
          <w:rFonts w:hint="eastAsia" w:ascii="Calibri" w:hAnsi="Calibri"/>
          <w:szCs w:val="21"/>
          <w:lang w:val="en-US" w:eastAsia="zh-CN"/>
        </w:rPr>
        <w:t>彩色马克笔</w:t>
      </w:r>
      <w:r>
        <w:rPr>
          <w:rFonts w:hint="eastAsia" w:ascii="Calibri" w:hAnsi="Calibri"/>
          <w:szCs w:val="21"/>
        </w:rPr>
        <w:t>。</w:t>
      </w:r>
    </w:p>
    <w:p w14:paraId="4F3F15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ascii="Calibri" w:hAnsi="Calibri"/>
          <w:szCs w:val="21"/>
        </w:rPr>
        <w:t xml:space="preserve">3. </w:t>
      </w:r>
      <w:r>
        <w:rPr>
          <w:rFonts w:hint="eastAsia"/>
          <w:szCs w:val="21"/>
        </w:rPr>
        <w:t>试卷内容与题型结构</w:t>
      </w:r>
    </w:p>
    <w:p w14:paraId="2DAA65C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案例分析题         </w:t>
      </w:r>
    </w:p>
    <w:p w14:paraId="0CF7682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问答题            </w:t>
      </w:r>
    </w:p>
    <w:p w14:paraId="0BF869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r>
        <w:rPr>
          <w:rFonts w:hint="eastAsia"/>
          <w:szCs w:val="21"/>
        </w:rPr>
        <w:t xml:space="preserve">命题设计题        </w:t>
      </w:r>
    </w:p>
    <w:p w14:paraId="47ADD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eastAsia="黑体"/>
          <w:bCs/>
          <w:szCs w:val="21"/>
        </w:rPr>
      </w:pPr>
      <w:bookmarkStart w:id="2" w:name="_Toc267168192"/>
    </w:p>
    <w:p w14:paraId="635E7B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eastAsia="黑体"/>
          <w:bCs/>
          <w:szCs w:val="21"/>
        </w:rPr>
      </w:pPr>
      <w:r>
        <w:rPr>
          <w:rFonts w:hint="eastAsia" w:ascii="黑体" w:eastAsia="黑体"/>
          <w:bCs/>
          <w:szCs w:val="21"/>
        </w:rPr>
        <w:t>三、考试内容</w:t>
      </w:r>
      <w:bookmarkEnd w:id="2"/>
    </w:p>
    <w:p w14:paraId="2E0A1352">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（一）创意方法</w:t>
      </w:r>
    </w:p>
    <w:p w14:paraId="76CEC078">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1. 希</w:t>
      </w:r>
      <w:r>
        <w:rPr>
          <w:rFonts w:hint="eastAsia"/>
          <w:szCs w:val="21"/>
        </w:rPr>
        <w:t>望点列举法。</w:t>
      </w:r>
    </w:p>
    <w:p w14:paraId="5877F1C1">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 xml:space="preserve">2. </w:t>
      </w:r>
      <w:r>
        <w:rPr>
          <w:rFonts w:hint="eastAsia"/>
          <w:szCs w:val="21"/>
        </w:rPr>
        <w:t>缺点列举法。</w:t>
      </w:r>
    </w:p>
    <w:p w14:paraId="7B0BC053">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3. 头</w:t>
      </w:r>
      <w:r>
        <w:rPr>
          <w:rFonts w:hint="eastAsia"/>
          <w:szCs w:val="21"/>
        </w:rPr>
        <w:t>脑风暴法。</w:t>
      </w:r>
    </w:p>
    <w:p w14:paraId="18D22C06">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 xml:space="preserve">4. </w:t>
      </w:r>
      <w:r>
        <w:rPr>
          <w:rFonts w:hint="eastAsia"/>
          <w:szCs w:val="21"/>
        </w:rPr>
        <w:t>检核表法。</w:t>
      </w:r>
    </w:p>
    <w:p w14:paraId="5CD5CE4A">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5. 5W2H</w:t>
      </w:r>
      <w:r>
        <w:rPr>
          <w:rFonts w:hint="eastAsia"/>
          <w:szCs w:val="21"/>
        </w:rPr>
        <w:t>法。</w:t>
      </w:r>
    </w:p>
    <w:p w14:paraId="5F80862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6. SWOT</w:t>
      </w:r>
      <w:r>
        <w:rPr>
          <w:rFonts w:hint="eastAsia"/>
          <w:szCs w:val="21"/>
        </w:rPr>
        <w:t>分析法。</w:t>
      </w:r>
    </w:p>
    <w:p w14:paraId="585F9532">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7. 故</w:t>
      </w:r>
      <w:r>
        <w:rPr>
          <w:rFonts w:hint="eastAsia"/>
          <w:szCs w:val="21"/>
        </w:rPr>
        <w:t>事板。</w:t>
      </w:r>
    </w:p>
    <w:p w14:paraId="422C2D77">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8. 思</w:t>
      </w:r>
      <w:r>
        <w:rPr>
          <w:rFonts w:hint="eastAsia"/>
          <w:szCs w:val="21"/>
        </w:rPr>
        <w:t>维导图。</w:t>
      </w:r>
    </w:p>
    <w:p w14:paraId="76497708">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 xml:space="preserve">9. </w:t>
      </w:r>
      <w:r>
        <w:rPr>
          <w:rFonts w:hint="eastAsia"/>
          <w:szCs w:val="21"/>
        </w:rPr>
        <w:t>联想法。</w:t>
      </w:r>
    </w:p>
    <w:p w14:paraId="7F652AC3">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 xml:space="preserve">10. </w:t>
      </w:r>
      <w:r>
        <w:rPr>
          <w:rFonts w:hint="eastAsia"/>
          <w:szCs w:val="21"/>
        </w:rPr>
        <w:t>仿生设计法。</w:t>
      </w:r>
    </w:p>
    <w:p w14:paraId="602D5D7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Cs w:val="21"/>
        </w:rPr>
      </w:pPr>
    </w:p>
    <w:p w14:paraId="13460E0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2" w:firstLineChars="200"/>
        <w:textAlignment w:val="auto"/>
        <w:rPr>
          <w:rFonts w:hint="eastAsia"/>
          <w:b/>
          <w:szCs w:val="21"/>
        </w:rPr>
      </w:pPr>
      <w:r>
        <w:rPr>
          <w:rFonts w:hint="eastAsia"/>
          <w:b/>
          <w:szCs w:val="21"/>
        </w:rPr>
        <w:t>（二）产品设计</w:t>
      </w:r>
    </w:p>
    <w:p w14:paraId="734FA4C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 xml:space="preserve">1. </w:t>
      </w:r>
      <w:r>
        <w:rPr>
          <w:rFonts w:hint="eastAsia"/>
          <w:szCs w:val="21"/>
        </w:rPr>
        <w:t>产品设计程序。</w:t>
      </w:r>
    </w:p>
    <w:p w14:paraId="1A6FC13D">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b/>
          <w:szCs w:val="21"/>
        </w:rPr>
      </w:pPr>
      <w:r>
        <w:rPr>
          <w:rFonts w:hint="eastAsia" w:ascii="Calibri" w:hAnsi="Calibri"/>
          <w:szCs w:val="21"/>
        </w:rPr>
        <w:t xml:space="preserve">2. </w:t>
      </w:r>
      <w:r>
        <w:rPr>
          <w:rFonts w:hint="eastAsia"/>
          <w:szCs w:val="21"/>
        </w:rPr>
        <w:t>市场调查与分析。</w:t>
      </w:r>
    </w:p>
    <w:p w14:paraId="62040D66">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3. 设计效果图表现。</w:t>
      </w:r>
    </w:p>
    <w:p w14:paraId="69DA0EAF">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4. 设计定位。</w:t>
      </w:r>
    </w:p>
    <w:p w14:paraId="35995D4A">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5. 产品材料与工艺分析。</w:t>
      </w:r>
    </w:p>
    <w:p w14:paraId="7CD42EEF">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6. 产品人机分析。</w:t>
      </w:r>
    </w:p>
    <w:p w14:paraId="612871D6">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7. 产品色彩分析。</w:t>
      </w:r>
    </w:p>
    <w:p w14:paraId="6EFE1211">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8. 产品尺寸及三视图画法。</w:t>
      </w:r>
    </w:p>
    <w:p w14:paraId="65E684F8">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hint="eastAsia" w:ascii="Calibri" w:hAnsi="Calibri"/>
          <w:szCs w:val="21"/>
        </w:rPr>
      </w:pPr>
      <w:r>
        <w:rPr>
          <w:rFonts w:hint="eastAsia" w:ascii="Calibri" w:hAnsi="Calibri"/>
          <w:szCs w:val="21"/>
        </w:rPr>
        <w:t>9. 产品基本功能原理分析。</w:t>
      </w:r>
    </w:p>
    <w:p w14:paraId="50C0D295">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20" w:firstLineChars="200"/>
        <w:textAlignment w:val="auto"/>
        <w:rPr>
          <w:rFonts w:ascii="Calibri" w:hAnsi="Calibri"/>
          <w:szCs w:val="21"/>
        </w:rPr>
      </w:pPr>
      <w:r>
        <w:rPr>
          <w:rFonts w:hint="eastAsia" w:ascii="Calibri" w:hAnsi="Calibri"/>
          <w:szCs w:val="21"/>
        </w:rPr>
        <w:t>10. 产品用户分析。</w:t>
      </w:r>
    </w:p>
    <w:p w14:paraId="6616158F">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黑体" w:eastAsia="黑体"/>
          <w:bCs/>
          <w:szCs w:val="21"/>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D60E">
    <w:pPr>
      <w:pStyle w:val="8"/>
      <w:framePr w:wrap="around" w:vAnchor="text" w:hAnchor="margin" w:xAlign="right" w:y="1"/>
      <w:rPr>
        <w:rStyle w:val="14"/>
      </w:rPr>
    </w:pPr>
    <w:r>
      <w:fldChar w:fldCharType="begin"/>
    </w:r>
    <w:r>
      <w:rPr>
        <w:rStyle w:val="14"/>
      </w:rPr>
      <w:instrText xml:space="preserve">PAGE  </w:instrText>
    </w:r>
    <w:r>
      <w:fldChar w:fldCharType="separate"/>
    </w:r>
    <w:r>
      <w:rPr>
        <w:rStyle w:val="14"/>
        <w:lang/>
      </w:rPr>
      <w:t>1</w:t>
    </w:r>
    <w:r>
      <w:fldChar w:fldCharType="end"/>
    </w:r>
  </w:p>
  <w:p w14:paraId="2CE09BE1">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C069">
    <w:pPr>
      <w:pStyle w:val="8"/>
      <w:framePr w:wrap="around" w:vAnchor="text" w:hAnchor="margin" w:xAlign="right" w:y="1"/>
      <w:rPr>
        <w:rStyle w:val="14"/>
      </w:rPr>
    </w:pPr>
    <w:r>
      <w:fldChar w:fldCharType="begin"/>
    </w:r>
    <w:r>
      <w:rPr>
        <w:rStyle w:val="14"/>
      </w:rPr>
      <w:instrText xml:space="preserve">PAGE  </w:instrText>
    </w:r>
    <w:r>
      <w:fldChar w:fldCharType="end"/>
    </w:r>
  </w:p>
  <w:p w14:paraId="568D7641">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187D">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F7F13"/>
    <w:multiLevelType w:val="multilevel"/>
    <w:tmpl w:val="052F7F13"/>
    <w:lvl w:ilvl="0" w:tentative="0">
      <w:start w:val="1"/>
      <w:numFmt w:val="chineseCountingThousand"/>
      <w:pStyle w:val="17"/>
      <w:lvlText w:val="第%1编"/>
      <w:lvlJc w:val="left"/>
      <w:pPr>
        <w:tabs>
          <w:tab w:val="left" w:pos="425"/>
        </w:tabs>
        <w:ind w:left="425" w:hanging="425"/>
      </w:pPr>
      <w:rPr>
        <w:rFonts w:hint="eastAsia"/>
      </w:rPr>
    </w:lvl>
    <w:lvl w:ilvl="1" w:tentative="0">
      <w:start w:val="1"/>
      <w:numFmt w:val="decimal"/>
      <w:lvlRestart w:val="0"/>
      <w:pStyle w:val="20"/>
      <w:lvlText w:val="第%2章"/>
      <w:lvlJc w:val="left"/>
      <w:pPr>
        <w:tabs>
          <w:tab w:val="left" w:pos="851"/>
        </w:tabs>
        <w:ind w:left="851" w:hanging="426"/>
      </w:pPr>
      <w:rPr>
        <w:rFonts w:hint="eastAsia"/>
      </w:rPr>
    </w:lvl>
    <w:lvl w:ilvl="2" w:tentative="0">
      <w:start w:val="1"/>
      <w:numFmt w:val="decimal"/>
      <w:pStyle w:val="16"/>
      <w:lvlText w:val="%2.%3"/>
      <w:lvlJc w:val="left"/>
      <w:pPr>
        <w:tabs>
          <w:tab w:val="left" w:pos="1276"/>
        </w:tabs>
        <w:ind w:left="1276" w:hanging="425"/>
      </w:pPr>
      <w:rPr>
        <w:rFonts w:hint="eastAsia"/>
      </w:rPr>
    </w:lvl>
    <w:lvl w:ilvl="3" w:tentative="0">
      <w:start w:val="1"/>
      <w:numFmt w:val="decimal"/>
      <w:pStyle w:val="18"/>
      <w:lvlText w:val="%2.%3.%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1BFC439B"/>
    <w:multiLevelType w:val="multilevel"/>
    <w:tmpl w:val="1BFC439B"/>
    <w:lvl w:ilvl="0" w:tentative="0">
      <w:start w:val="1"/>
      <w:numFmt w:val="chineseCountingThousand"/>
      <w:lvlText w:val="第%1编"/>
      <w:lvlJc w:val="left"/>
      <w:pPr>
        <w:tabs>
          <w:tab w:val="left" w:pos="425"/>
        </w:tabs>
        <w:ind w:left="425" w:hanging="425"/>
      </w:pPr>
      <w:rPr>
        <w:rFonts w:hint="eastAsia"/>
      </w:rPr>
    </w:lvl>
    <w:lvl w:ilvl="1" w:tentative="0">
      <w:start w:val="1"/>
      <w:numFmt w:val="decimal"/>
      <w:pStyle w:val="3"/>
      <w:lvlText w:val="第%2章"/>
      <w:lvlJc w:val="left"/>
      <w:pPr>
        <w:tabs>
          <w:tab w:val="left" w:pos="851"/>
        </w:tabs>
        <w:ind w:left="851" w:hanging="426"/>
      </w:pPr>
      <w:rPr>
        <w:rFonts w:hint="eastAsia"/>
      </w:rPr>
    </w:lvl>
    <w:lvl w:ilvl="2" w:tentative="0">
      <w:start w:val="1"/>
      <w:numFmt w:val="decimal"/>
      <w:lvlText w:val="%3."/>
      <w:lvlJc w:val="left"/>
      <w:pPr>
        <w:tabs>
          <w:tab w:val="left" w:pos="1276"/>
        </w:tabs>
        <w:ind w:left="1276" w:hanging="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140AE5"/>
    <w:rsid w:val="00010D5D"/>
    <w:rsid w:val="000135FF"/>
    <w:rsid w:val="00027E64"/>
    <w:rsid w:val="000335F6"/>
    <w:rsid w:val="00050982"/>
    <w:rsid w:val="00066A42"/>
    <w:rsid w:val="000719FE"/>
    <w:rsid w:val="00077182"/>
    <w:rsid w:val="00085B3B"/>
    <w:rsid w:val="00091B36"/>
    <w:rsid w:val="000B7DC8"/>
    <w:rsid w:val="000C209E"/>
    <w:rsid w:val="000E5C38"/>
    <w:rsid w:val="000E68B5"/>
    <w:rsid w:val="000F3C2E"/>
    <w:rsid w:val="000F661E"/>
    <w:rsid w:val="00103B3E"/>
    <w:rsid w:val="00114AEC"/>
    <w:rsid w:val="00121DD7"/>
    <w:rsid w:val="00133315"/>
    <w:rsid w:val="00133E55"/>
    <w:rsid w:val="00140AE5"/>
    <w:rsid w:val="001453D0"/>
    <w:rsid w:val="00150D02"/>
    <w:rsid w:val="00155EB0"/>
    <w:rsid w:val="0015629C"/>
    <w:rsid w:val="001609F7"/>
    <w:rsid w:val="0016652A"/>
    <w:rsid w:val="0016748F"/>
    <w:rsid w:val="001740E8"/>
    <w:rsid w:val="00185745"/>
    <w:rsid w:val="001935B6"/>
    <w:rsid w:val="00194851"/>
    <w:rsid w:val="001B041B"/>
    <w:rsid w:val="001D413F"/>
    <w:rsid w:val="001E10DB"/>
    <w:rsid w:val="001F3C9B"/>
    <w:rsid w:val="001F7556"/>
    <w:rsid w:val="0020469F"/>
    <w:rsid w:val="00206E2C"/>
    <w:rsid w:val="00216D96"/>
    <w:rsid w:val="002214EE"/>
    <w:rsid w:val="0024611E"/>
    <w:rsid w:val="002523CF"/>
    <w:rsid w:val="00280C54"/>
    <w:rsid w:val="00283F53"/>
    <w:rsid w:val="002C3A92"/>
    <w:rsid w:val="00302A72"/>
    <w:rsid w:val="0030792B"/>
    <w:rsid w:val="003338AC"/>
    <w:rsid w:val="003360CD"/>
    <w:rsid w:val="003441EF"/>
    <w:rsid w:val="00352755"/>
    <w:rsid w:val="00353F90"/>
    <w:rsid w:val="0036543C"/>
    <w:rsid w:val="00372CF0"/>
    <w:rsid w:val="003756AA"/>
    <w:rsid w:val="00376053"/>
    <w:rsid w:val="00386367"/>
    <w:rsid w:val="003974FF"/>
    <w:rsid w:val="003B31A5"/>
    <w:rsid w:val="003C0765"/>
    <w:rsid w:val="003C46E0"/>
    <w:rsid w:val="003D0761"/>
    <w:rsid w:val="003D40DA"/>
    <w:rsid w:val="003E0AA2"/>
    <w:rsid w:val="003E496C"/>
    <w:rsid w:val="003F1816"/>
    <w:rsid w:val="003F7C96"/>
    <w:rsid w:val="00407D78"/>
    <w:rsid w:val="00437544"/>
    <w:rsid w:val="004528F2"/>
    <w:rsid w:val="00460E53"/>
    <w:rsid w:val="00461FFB"/>
    <w:rsid w:val="00477953"/>
    <w:rsid w:val="00485EA2"/>
    <w:rsid w:val="004875B6"/>
    <w:rsid w:val="00493110"/>
    <w:rsid w:val="004B5A4D"/>
    <w:rsid w:val="004C6CAD"/>
    <w:rsid w:val="004D605D"/>
    <w:rsid w:val="004F745E"/>
    <w:rsid w:val="005035EF"/>
    <w:rsid w:val="00503615"/>
    <w:rsid w:val="005040DA"/>
    <w:rsid w:val="00506B26"/>
    <w:rsid w:val="00512E13"/>
    <w:rsid w:val="005222FE"/>
    <w:rsid w:val="00535709"/>
    <w:rsid w:val="005437C8"/>
    <w:rsid w:val="00553751"/>
    <w:rsid w:val="005542FF"/>
    <w:rsid w:val="00554EC1"/>
    <w:rsid w:val="00555B4C"/>
    <w:rsid w:val="0057795C"/>
    <w:rsid w:val="005B7722"/>
    <w:rsid w:val="005C652E"/>
    <w:rsid w:val="005C6D87"/>
    <w:rsid w:val="005E4F15"/>
    <w:rsid w:val="005F4D79"/>
    <w:rsid w:val="005F5405"/>
    <w:rsid w:val="0060496A"/>
    <w:rsid w:val="0060527D"/>
    <w:rsid w:val="006153EB"/>
    <w:rsid w:val="00653A00"/>
    <w:rsid w:val="006558B8"/>
    <w:rsid w:val="006604D6"/>
    <w:rsid w:val="00663EA3"/>
    <w:rsid w:val="00667089"/>
    <w:rsid w:val="00674145"/>
    <w:rsid w:val="00676CC2"/>
    <w:rsid w:val="0068067B"/>
    <w:rsid w:val="006961B4"/>
    <w:rsid w:val="006A6D56"/>
    <w:rsid w:val="006B1E3B"/>
    <w:rsid w:val="006C4939"/>
    <w:rsid w:val="006D40D8"/>
    <w:rsid w:val="006E4DC2"/>
    <w:rsid w:val="006E52D4"/>
    <w:rsid w:val="00714870"/>
    <w:rsid w:val="00724DB7"/>
    <w:rsid w:val="007550B4"/>
    <w:rsid w:val="007742DF"/>
    <w:rsid w:val="00781E84"/>
    <w:rsid w:val="00795D47"/>
    <w:rsid w:val="007B46B1"/>
    <w:rsid w:val="007D095C"/>
    <w:rsid w:val="00802934"/>
    <w:rsid w:val="00805F6D"/>
    <w:rsid w:val="00815A2A"/>
    <w:rsid w:val="008173EC"/>
    <w:rsid w:val="008308AD"/>
    <w:rsid w:val="00840F6F"/>
    <w:rsid w:val="0084510F"/>
    <w:rsid w:val="008462A7"/>
    <w:rsid w:val="008646F8"/>
    <w:rsid w:val="00871B87"/>
    <w:rsid w:val="0089787C"/>
    <w:rsid w:val="008A2A52"/>
    <w:rsid w:val="008C20B2"/>
    <w:rsid w:val="008C70C3"/>
    <w:rsid w:val="008E61F3"/>
    <w:rsid w:val="008F0EDA"/>
    <w:rsid w:val="008F7245"/>
    <w:rsid w:val="009001EA"/>
    <w:rsid w:val="00904FDE"/>
    <w:rsid w:val="0091505B"/>
    <w:rsid w:val="00925D0D"/>
    <w:rsid w:val="00930C3E"/>
    <w:rsid w:val="009331DD"/>
    <w:rsid w:val="00935EB0"/>
    <w:rsid w:val="0095795A"/>
    <w:rsid w:val="0096182C"/>
    <w:rsid w:val="0096493A"/>
    <w:rsid w:val="00984828"/>
    <w:rsid w:val="009C7165"/>
    <w:rsid w:val="009D1748"/>
    <w:rsid w:val="009E0D6A"/>
    <w:rsid w:val="009E7851"/>
    <w:rsid w:val="00A24DD8"/>
    <w:rsid w:val="00A72107"/>
    <w:rsid w:val="00A85111"/>
    <w:rsid w:val="00A8561D"/>
    <w:rsid w:val="00AA08F7"/>
    <w:rsid w:val="00AA3940"/>
    <w:rsid w:val="00AB6D66"/>
    <w:rsid w:val="00AB70B0"/>
    <w:rsid w:val="00AD1AFD"/>
    <w:rsid w:val="00AE0B80"/>
    <w:rsid w:val="00AE35DF"/>
    <w:rsid w:val="00AF36DE"/>
    <w:rsid w:val="00B1139F"/>
    <w:rsid w:val="00B123A9"/>
    <w:rsid w:val="00B1344C"/>
    <w:rsid w:val="00B138F3"/>
    <w:rsid w:val="00B15F5F"/>
    <w:rsid w:val="00B22F1C"/>
    <w:rsid w:val="00B42762"/>
    <w:rsid w:val="00B476B8"/>
    <w:rsid w:val="00B900EC"/>
    <w:rsid w:val="00B93CF6"/>
    <w:rsid w:val="00B972B2"/>
    <w:rsid w:val="00BA0504"/>
    <w:rsid w:val="00BC75CF"/>
    <w:rsid w:val="00BE0920"/>
    <w:rsid w:val="00BE1A6C"/>
    <w:rsid w:val="00BE504F"/>
    <w:rsid w:val="00BE7059"/>
    <w:rsid w:val="00BF0D9C"/>
    <w:rsid w:val="00C01FE5"/>
    <w:rsid w:val="00C04EBD"/>
    <w:rsid w:val="00C07DC6"/>
    <w:rsid w:val="00C56DF8"/>
    <w:rsid w:val="00C60C8B"/>
    <w:rsid w:val="00C74341"/>
    <w:rsid w:val="00C83F9A"/>
    <w:rsid w:val="00C90002"/>
    <w:rsid w:val="00C917C7"/>
    <w:rsid w:val="00C9415D"/>
    <w:rsid w:val="00CB3C88"/>
    <w:rsid w:val="00CC07C4"/>
    <w:rsid w:val="00CC106A"/>
    <w:rsid w:val="00CF340F"/>
    <w:rsid w:val="00CF456B"/>
    <w:rsid w:val="00D05127"/>
    <w:rsid w:val="00D23E62"/>
    <w:rsid w:val="00D47067"/>
    <w:rsid w:val="00D6137C"/>
    <w:rsid w:val="00D77ED1"/>
    <w:rsid w:val="00D84F81"/>
    <w:rsid w:val="00D92C30"/>
    <w:rsid w:val="00DA3E13"/>
    <w:rsid w:val="00DC7CBC"/>
    <w:rsid w:val="00DF4A1C"/>
    <w:rsid w:val="00E03E9F"/>
    <w:rsid w:val="00E40A7D"/>
    <w:rsid w:val="00E40CE8"/>
    <w:rsid w:val="00E46CE6"/>
    <w:rsid w:val="00E52C5C"/>
    <w:rsid w:val="00E6277E"/>
    <w:rsid w:val="00E66B82"/>
    <w:rsid w:val="00E765F7"/>
    <w:rsid w:val="00E828D3"/>
    <w:rsid w:val="00E86D7A"/>
    <w:rsid w:val="00E96CC4"/>
    <w:rsid w:val="00EB58D4"/>
    <w:rsid w:val="00EC0C60"/>
    <w:rsid w:val="00EC59FF"/>
    <w:rsid w:val="00ED66B7"/>
    <w:rsid w:val="00EE1F3B"/>
    <w:rsid w:val="00EE2373"/>
    <w:rsid w:val="00EE66E9"/>
    <w:rsid w:val="00EF4EA0"/>
    <w:rsid w:val="00F05760"/>
    <w:rsid w:val="00F0689D"/>
    <w:rsid w:val="00F07166"/>
    <w:rsid w:val="00F26347"/>
    <w:rsid w:val="00F35C37"/>
    <w:rsid w:val="00F47063"/>
    <w:rsid w:val="00F91D0A"/>
    <w:rsid w:val="00FA0000"/>
    <w:rsid w:val="00FA1009"/>
    <w:rsid w:val="00FB4778"/>
    <w:rsid w:val="00FB74A0"/>
    <w:rsid w:val="00FC6D6E"/>
    <w:rsid w:val="00FD084C"/>
    <w:rsid w:val="00FE121C"/>
    <w:rsid w:val="00FE3CEA"/>
    <w:rsid w:val="13BDD25A"/>
    <w:rsid w:val="176B05E2"/>
    <w:rsid w:val="356E6974"/>
    <w:rsid w:val="3CF7740C"/>
    <w:rsid w:val="5CAF3424"/>
    <w:rsid w:val="5E5853BE"/>
    <w:rsid w:val="60D96CF6"/>
    <w:rsid w:val="6B055D41"/>
    <w:rsid w:val="6EFD2581"/>
    <w:rsid w:val="7C2B6F63"/>
    <w:rsid w:val="7E7669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Body Text Indent"/>
    <w:basedOn w:val="1"/>
    <w:uiPriority w:val="0"/>
    <w:pPr>
      <w:ind w:left="357" w:leftChars="170" w:firstLine="420" w:firstLineChars="200"/>
      <w:jc w:val="left"/>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10">
    <w:name w:val="toc 1"/>
    <w:basedOn w:val="1"/>
    <w:next w:val="1"/>
    <w:semiHidden/>
    <w:uiPriority w:val="0"/>
  </w:style>
  <w:style w:type="table" w:styleId="12">
    <w:name w:val="Table Grid"/>
    <w:basedOn w:val="11"/>
    <w:uiPriority w:val="0"/>
    <w:pPr>
      <w:widowControl w:val="0"/>
      <w:adjustRightInd w:val="0"/>
      <w:spacing w:line="312" w:lineRule="atLeast"/>
      <w:jc w:val="both"/>
      <w:textAlignment w:val="baseline"/>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uiPriority w:val="0"/>
  </w:style>
  <w:style w:type="character" w:styleId="15">
    <w:name w:val="Hyperlink"/>
    <w:uiPriority w:val="0"/>
    <w:rPr>
      <w:color w:val="0000FF"/>
      <w:u w:val="single"/>
    </w:rPr>
  </w:style>
  <w:style w:type="paragraph" w:customStyle="1" w:styleId="16">
    <w:name w:val="样式3"/>
    <w:basedOn w:val="4"/>
    <w:next w:val="1"/>
    <w:uiPriority w:val="0"/>
    <w:pPr>
      <w:numPr>
        <w:ilvl w:val="2"/>
        <w:numId w:val="2"/>
      </w:numPr>
      <w:spacing w:before="0" w:after="0" w:line="240" w:lineRule="auto"/>
    </w:pPr>
    <w:rPr>
      <w:b w:val="0"/>
      <w:sz w:val="28"/>
    </w:rPr>
  </w:style>
  <w:style w:type="paragraph" w:customStyle="1" w:styleId="17">
    <w:name w:val="样式1"/>
    <w:basedOn w:val="2"/>
    <w:next w:val="1"/>
    <w:uiPriority w:val="0"/>
    <w:pPr>
      <w:numPr>
        <w:ilvl w:val="0"/>
        <w:numId w:val="2"/>
      </w:numPr>
      <w:spacing w:before="120" w:after="120" w:line="240" w:lineRule="auto"/>
    </w:pPr>
    <w:rPr>
      <w:sz w:val="32"/>
    </w:rPr>
  </w:style>
  <w:style w:type="paragraph" w:customStyle="1" w:styleId="18">
    <w:name w:val="样式4"/>
    <w:basedOn w:val="5"/>
    <w:next w:val="1"/>
    <w:uiPriority w:val="0"/>
    <w:pPr>
      <w:numPr>
        <w:ilvl w:val="3"/>
        <w:numId w:val="2"/>
      </w:numPr>
      <w:spacing w:before="0" w:after="0" w:line="240" w:lineRule="auto"/>
    </w:pPr>
    <w:rPr>
      <w:rFonts w:eastAsia="宋体"/>
      <w:b w:val="0"/>
      <w:sz w:val="24"/>
    </w:rPr>
  </w:style>
  <w:style w:type="paragraph" w:customStyle="1" w:styleId="19">
    <w:name w:val="p0"/>
    <w:basedOn w:val="1"/>
    <w:uiPriority w:val="0"/>
    <w:pPr>
      <w:widowControl/>
      <w:jc w:val="left"/>
    </w:pPr>
    <w:rPr>
      <w:rFonts w:ascii="宋体" w:hAnsi="宋体" w:cs="宋体"/>
      <w:kern w:val="0"/>
      <w:sz w:val="24"/>
    </w:rPr>
  </w:style>
  <w:style w:type="paragraph" w:customStyle="1" w:styleId="20">
    <w:name w:val="样式2"/>
    <w:basedOn w:val="3"/>
    <w:next w:val="1"/>
    <w:uiPriority w:val="0"/>
    <w:pPr>
      <w:numPr>
        <w:ilvl w:val="1"/>
        <w:numId w:val="2"/>
      </w:numPr>
      <w:spacing w:before="0" w:after="0" w:line="240" w:lineRule="auto"/>
    </w:pPr>
    <w:rPr>
      <w:rFonts w:eastAsia="宋体"/>
      <w:b w:val="0"/>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ruc stats</Company>
  <Pages>2</Pages>
  <Words>492</Words>
  <Characters>534</Characters>
  <Lines>4</Lines>
  <Paragraphs>1</Paragraphs>
  <TotalTime>0</TotalTime>
  <ScaleCrop>false</ScaleCrop>
  <LinksUpToDate>false</LinksUpToDate>
  <CharactersWithSpaces>590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2011-07-18T07:57:00Z</dcterms:created>
  <dc:creator>山东大学研究生招生办公室; huangxy</dc:creator>
  <dc:description>山东大学2011年硕士研究生入学考试自命题考试大纲</dc:description>
  <cp:keywords>2011年硕士研究生入学考试考试大纲</cp:keywords>
  <cp:lastModifiedBy>vertesyuan</cp:lastModifiedBy>
  <dcterms:modified xsi:type="dcterms:W3CDTF">2024-10-11T00:59:05Z</dcterms:modified>
  <dc:title>全国硕士研究生入学统一考试应用统计硕士专业学位统计学考试大纲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24A94DECDAF44C0C9E00070741F1FFFD_13</vt:lpwstr>
  </property>
</Properties>
</file>