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E0EB1">
      <w:pPr>
        <w:snapToGrid w:val="0"/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606-《高等代数》考试大纲</w:t>
      </w:r>
    </w:p>
    <w:p w14:paraId="03304DE0"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5474EE25">
      <w:pPr>
        <w:snapToGrid w:val="0"/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</w:p>
    <w:p w14:paraId="0674AB5F"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一、考试性质</w:t>
      </w:r>
    </w:p>
    <w:p w14:paraId="4166B206">
      <w:pPr>
        <w:snapToGrid w:val="0"/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高等代数</w:t>
      </w:r>
      <w:r>
        <w:rPr>
          <w:rFonts w:ascii="仿宋" w:hAnsi="仿宋" w:eastAsia="仿宋"/>
          <w:sz w:val="28"/>
          <w:szCs w:val="28"/>
        </w:rPr>
        <w:t>》是</w:t>
      </w:r>
      <w:r>
        <w:rPr>
          <w:rFonts w:hint="eastAsia" w:ascii="仿宋" w:hAnsi="仿宋" w:eastAsia="仿宋"/>
          <w:sz w:val="28"/>
          <w:szCs w:val="28"/>
        </w:rPr>
        <w:t>基础数学专业、计算数学专业、概率论与数理统计专业、应用数学专业、运筹学与控制论专业、系统理论专业</w:t>
      </w:r>
      <w:r>
        <w:rPr>
          <w:rFonts w:ascii="仿宋" w:hAnsi="仿宋" w:eastAsia="仿宋"/>
          <w:sz w:val="28"/>
          <w:szCs w:val="28"/>
        </w:rPr>
        <w:t>硕士学位研究生入学考试的科目之一。《</w:t>
      </w:r>
      <w:r>
        <w:rPr>
          <w:rFonts w:hint="eastAsia" w:ascii="仿宋" w:hAnsi="仿宋" w:eastAsia="仿宋"/>
          <w:sz w:val="28"/>
          <w:szCs w:val="28"/>
        </w:rPr>
        <w:t>高等代数</w:t>
      </w:r>
      <w:r>
        <w:rPr>
          <w:rFonts w:ascii="仿宋" w:hAnsi="仿宋" w:eastAsia="仿宋"/>
          <w:sz w:val="28"/>
          <w:szCs w:val="28"/>
        </w:rPr>
        <w:t>》考试</w:t>
      </w:r>
      <w:r>
        <w:rPr>
          <w:rFonts w:hint="eastAsia" w:ascii="仿宋" w:hAnsi="仿宋" w:eastAsia="仿宋"/>
          <w:sz w:val="28"/>
          <w:szCs w:val="28"/>
        </w:rPr>
        <w:t>要</w:t>
      </w:r>
      <w:r>
        <w:rPr>
          <w:rFonts w:ascii="仿宋" w:hAnsi="仿宋" w:eastAsia="仿宋"/>
          <w:sz w:val="28"/>
          <w:szCs w:val="28"/>
        </w:rPr>
        <w:t>求</w:t>
      </w:r>
      <w:r>
        <w:rPr>
          <w:rFonts w:hint="eastAsia" w:ascii="仿宋" w:hAnsi="仿宋" w:eastAsia="仿宋"/>
          <w:sz w:val="28"/>
          <w:szCs w:val="28"/>
        </w:rPr>
        <w:t>能</w:t>
      </w:r>
      <w:r>
        <w:rPr>
          <w:rFonts w:ascii="仿宋" w:hAnsi="仿宋" w:eastAsia="仿宋"/>
          <w:sz w:val="28"/>
          <w:szCs w:val="28"/>
        </w:rPr>
        <w:t>反映</w:t>
      </w:r>
      <w:r>
        <w:rPr>
          <w:rFonts w:hint="eastAsia" w:ascii="仿宋" w:hAnsi="仿宋" w:eastAsia="仿宋"/>
          <w:sz w:val="28"/>
          <w:szCs w:val="28"/>
        </w:rPr>
        <w:t>数学学科</w:t>
      </w:r>
      <w:r>
        <w:rPr>
          <w:rFonts w:ascii="仿宋" w:hAnsi="仿宋" w:eastAsia="仿宋"/>
          <w:sz w:val="28"/>
          <w:szCs w:val="28"/>
        </w:rPr>
        <w:t>的特点，科学、公平、准确地测</w:t>
      </w:r>
      <w:r>
        <w:rPr>
          <w:rFonts w:hint="eastAsia" w:ascii="仿宋" w:hAnsi="仿宋" w:eastAsia="仿宋"/>
          <w:sz w:val="28"/>
          <w:szCs w:val="28"/>
        </w:rPr>
        <w:t>试</w:t>
      </w:r>
      <w:r>
        <w:rPr>
          <w:rFonts w:ascii="仿宋" w:hAnsi="仿宋" w:eastAsia="仿宋"/>
          <w:sz w:val="28"/>
          <w:szCs w:val="28"/>
        </w:rPr>
        <w:t>考生的基本素质和综合能力，</w:t>
      </w:r>
      <w:r>
        <w:rPr>
          <w:rFonts w:hint="eastAsia" w:ascii="仿宋" w:hAnsi="仿宋" w:eastAsia="仿宋"/>
          <w:sz w:val="28"/>
          <w:szCs w:val="28"/>
        </w:rPr>
        <w:t>很好地选拔</w:t>
      </w:r>
      <w:r>
        <w:rPr>
          <w:rFonts w:ascii="仿宋" w:hAnsi="仿宋" w:eastAsia="仿宋"/>
          <w:sz w:val="28"/>
          <w:szCs w:val="28"/>
        </w:rPr>
        <w:t>具有</w:t>
      </w:r>
      <w:r>
        <w:rPr>
          <w:rFonts w:hint="eastAsia" w:ascii="仿宋" w:hAnsi="仿宋" w:eastAsia="仿宋"/>
          <w:sz w:val="28"/>
          <w:szCs w:val="28"/>
        </w:rPr>
        <w:t>科研</w:t>
      </w:r>
      <w:r>
        <w:rPr>
          <w:rFonts w:ascii="仿宋" w:hAnsi="仿宋" w:eastAsia="仿宋"/>
          <w:sz w:val="28"/>
          <w:szCs w:val="28"/>
        </w:rPr>
        <w:t>发展潜力的优秀人才</w:t>
      </w:r>
      <w:r>
        <w:rPr>
          <w:rFonts w:hint="eastAsia" w:ascii="仿宋" w:hAnsi="仿宋" w:eastAsia="仿宋"/>
          <w:sz w:val="28"/>
          <w:szCs w:val="28"/>
        </w:rPr>
        <w:t>进入硕士阶段学习，为国家培养掌握现代数学方面的基础理论知识，</w:t>
      </w:r>
      <w:r>
        <w:rPr>
          <w:rFonts w:ascii="仿宋" w:hAnsi="仿宋" w:eastAsia="仿宋"/>
          <w:sz w:val="28"/>
          <w:szCs w:val="28"/>
        </w:rPr>
        <w:t>具有较强分析与解决实际问题能力的高层次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应用型</w:t>
      </w:r>
      <w:r>
        <w:rPr>
          <w:rFonts w:hint="eastAsia" w:ascii="仿宋" w:hAnsi="仿宋" w:eastAsia="仿宋"/>
          <w:sz w:val="28"/>
          <w:szCs w:val="28"/>
        </w:rPr>
        <w:t>的和</w:t>
      </w:r>
      <w:r>
        <w:rPr>
          <w:rFonts w:ascii="仿宋" w:hAnsi="仿宋" w:eastAsia="仿宋"/>
          <w:sz w:val="28"/>
          <w:szCs w:val="28"/>
        </w:rPr>
        <w:t>复合型的</w:t>
      </w:r>
      <w:r>
        <w:rPr>
          <w:rFonts w:hint="eastAsia" w:ascii="仿宋" w:hAnsi="仿宋" w:eastAsia="仿宋"/>
          <w:sz w:val="28"/>
          <w:szCs w:val="28"/>
        </w:rPr>
        <w:t>数学</w:t>
      </w:r>
      <w:r>
        <w:rPr>
          <w:rFonts w:ascii="仿宋" w:hAnsi="仿宋" w:eastAsia="仿宋"/>
          <w:sz w:val="28"/>
          <w:szCs w:val="28"/>
        </w:rPr>
        <w:t>专业人才。</w:t>
      </w:r>
    </w:p>
    <w:p w14:paraId="4D2EE748"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二、考试要求</w:t>
      </w:r>
    </w:p>
    <w:p w14:paraId="2ED3CB83">
      <w:pPr>
        <w:snapToGrid w:val="0"/>
        <w:spacing w:line="360" w:lineRule="auto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考查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对《高等代数》里</w:t>
      </w:r>
      <w:r>
        <w:rPr>
          <w:rFonts w:ascii="仿宋" w:hAnsi="仿宋" w:eastAsia="仿宋"/>
          <w:sz w:val="28"/>
          <w:szCs w:val="28"/>
        </w:rPr>
        <w:t>的基本概念、基础知识的</w:t>
      </w:r>
      <w:r>
        <w:rPr>
          <w:rFonts w:hint="eastAsia" w:ascii="仿宋" w:hAnsi="仿宋" w:eastAsia="仿宋"/>
          <w:sz w:val="28"/>
          <w:szCs w:val="28"/>
        </w:rPr>
        <w:t>掌握情况，考察考生的分析能力、计算能力和对知识的综合运用能力</w:t>
      </w:r>
      <w:r>
        <w:rPr>
          <w:rFonts w:ascii="仿宋" w:hAnsi="仿宋" w:eastAsia="仿宋"/>
          <w:sz w:val="28"/>
          <w:szCs w:val="28"/>
        </w:rPr>
        <w:t>。</w:t>
      </w:r>
    </w:p>
    <w:p w14:paraId="7D51CB12"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试卷</w:t>
      </w:r>
      <w:r>
        <w:rPr>
          <w:rFonts w:ascii="仿宋" w:hAnsi="仿宋" w:eastAsia="仿宋"/>
          <w:b/>
          <w:sz w:val="28"/>
          <w:szCs w:val="28"/>
        </w:rPr>
        <w:t>分值</w:t>
      </w:r>
      <w:r>
        <w:rPr>
          <w:rFonts w:hint="eastAsia" w:ascii="仿宋" w:hAnsi="仿宋" w:eastAsia="仿宋"/>
          <w:b/>
          <w:sz w:val="28"/>
          <w:szCs w:val="28"/>
        </w:rPr>
        <w:t>、考试时间和答题方式</w:t>
      </w:r>
    </w:p>
    <w:p w14:paraId="73C4DD06">
      <w:pPr>
        <w:spacing w:line="360" w:lineRule="auto"/>
        <w:ind w:firstLine="562" w:firstLineChars="20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本科目试卷满分为150分，考试时间为180分钟，答题方式为闭卷、笔试。</w:t>
      </w:r>
    </w:p>
    <w:p w14:paraId="4B7BF306">
      <w:pPr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四、试题结构</w:t>
      </w:r>
    </w:p>
    <w:p w14:paraId="5E45874D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（1）试卷题型结构</w:t>
      </w:r>
    </w:p>
    <w:p w14:paraId="31F4E02A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填空题：30分</w:t>
      </w:r>
    </w:p>
    <w:p w14:paraId="618CAD2F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计算题：60分</w:t>
      </w:r>
    </w:p>
    <w:p w14:paraId="164631B8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证明题：60分</w:t>
      </w:r>
    </w:p>
    <w:p w14:paraId="4FB1C383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（2）内容结构</w:t>
      </w:r>
    </w:p>
    <w:p w14:paraId="3BA8F044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各部分内容所占分值为</w:t>
      </w:r>
    </w:p>
    <w:p w14:paraId="1FE69F36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多项式、行列式：      约30分</w:t>
      </w:r>
    </w:p>
    <w:p w14:paraId="33847EA9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线性方程组：          约30分</w:t>
      </w:r>
    </w:p>
    <w:p w14:paraId="67301022"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线性空间、线性变换：  约45分</w:t>
      </w:r>
    </w:p>
    <w:p w14:paraId="12705434"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矩阵的对角化问题：    约45分</w:t>
      </w:r>
    </w:p>
    <w:p w14:paraId="25649216">
      <w:pPr>
        <w:snapToGrid w:val="0"/>
        <w:spacing w:before="156" w:beforeLines="50" w:after="156" w:afterLines="50" w:line="360" w:lineRule="auto"/>
        <w:ind w:firstLine="413" w:firstLineChars="14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</w:t>
      </w:r>
      <w:r>
        <w:rPr>
          <w:rFonts w:ascii="仿宋" w:hAnsi="仿宋" w:eastAsia="仿宋"/>
          <w:b/>
          <w:sz w:val="28"/>
          <w:szCs w:val="28"/>
        </w:rPr>
        <w:t>、考试</w:t>
      </w:r>
      <w:r>
        <w:rPr>
          <w:rFonts w:hint="eastAsia" w:ascii="仿宋" w:hAnsi="仿宋" w:eastAsia="仿宋"/>
          <w:b/>
          <w:sz w:val="28"/>
          <w:szCs w:val="28"/>
        </w:rPr>
        <w:t>的知识及范围</w:t>
      </w:r>
    </w:p>
    <w:p w14:paraId="21B57DBC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1、多项式</w:t>
      </w:r>
    </w:p>
    <w:p w14:paraId="72D61ADA">
      <w:pPr>
        <w:spacing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整除；最大公因式；因式分解</w:t>
      </w:r>
    </w:p>
    <w:p w14:paraId="64B2D605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2、行列式</w:t>
      </w:r>
    </w:p>
    <w:p w14:paraId="6A766BEF">
      <w:pPr>
        <w:spacing w:line="360" w:lineRule="auto"/>
        <w:ind w:left="359" w:leftChars="17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n 阶行列式的定义；行列式的性质；n阶行列式的一行（列）展开式，行列式的计算</w:t>
      </w:r>
    </w:p>
    <w:p w14:paraId="0128B5AD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3、线性方程组</w:t>
      </w:r>
    </w:p>
    <w:p w14:paraId="2DB13FC9">
      <w:pPr>
        <w:spacing w:line="360" w:lineRule="auto"/>
        <w:ind w:left="359" w:leftChars="171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向量空间</w:t>
      </w:r>
      <w:r>
        <w:rPr>
          <w:rFonts w:hint="eastAsia" w:ascii="宋体" w:hAnsi="宋体"/>
          <w:bCs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矩阵的秩；齐次线性方程组的基础解系；非齐次线性方程组的通解</w:t>
      </w:r>
    </w:p>
    <w:p w14:paraId="6BAF0588"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4、矩阵</w:t>
      </w:r>
    </w:p>
    <w:p w14:paraId="69348C64">
      <w:pPr>
        <w:spacing w:line="360" w:lineRule="auto"/>
        <w:ind w:left="420" w:left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矩阵的运算；逆矩阵的求法；分块矩阵的运算和性质；矩阵的初等变换与初等矩阵</w:t>
      </w:r>
    </w:p>
    <w:p w14:paraId="063113BF"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5、二次型</w:t>
      </w:r>
    </w:p>
    <w:p w14:paraId="78AF5C44">
      <w:pPr>
        <w:spacing w:line="360" w:lineRule="auto"/>
        <w:ind w:left="420" w:leftChars="200"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二次型的矩阵；复系数的二次型的规范型；实系数的二次型的规范型、正定二次型的判别定理；正定二次型的证明；二次型的判定</w:t>
      </w:r>
    </w:p>
    <w:p w14:paraId="231887F1"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6、线性空间</w:t>
      </w:r>
    </w:p>
    <w:p w14:paraId="34789E65">
      <w:pPr>
        <w:spacing w:line="360" w:lineRule="auto"/>
        <w:ind w:left="359" w:leftChars="17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线性空间的定义和性质；线性空间的维数，基与坐标；线性子空间的判定和证明；子空间的直和；维数公式；线性空间同构的定义和证明</w:t>
      </w:r>
    </w:p>
    <w:p w14:paraId="69222322">
      <w:pPr>
        <w:pStyle w:val="10"/>
        <w:tabs>
          <w:tab w:val="left" w:pos="0"/>
        </w:tabs>
        <w:spacing w:before="156" w:beforeLines="50" w:beforeAutospacing="0" w:after="0" w:afterAutospacing="0"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7、线性变换</w:t>
      </w:r>
    </w:p>
    <w:p w14:paraId="3666B7D7">
      <w:pPr>
        <w:tabs>
          <w:tab w:val="left" w:pos="180"/>
        </w:tabs>
        <w:snapToGrid w:val="0"/>
        <w:spacing w:before="156" w:beforeLines="50" w:line="360" w:lineRule="auto"/>
        <w:ind w:left="420" w:left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线性变换的定义和运算；线性变换在基下的矩阵的求法；矩阵的相似；线性变换的特征值和特征向量；矩阵的特征值和特征向量；矩阵可对角化的判定定理；线性变换的值域与核定义、性质和判定；不变子空间的定义、性质和判定</w:t>
      </w:r>
    </w:p>
    <w:p w14:paraId="4F96FAED">
      <w:pPr>
        <w:tabs>
          <w:tab w:val="left" w:pos="180"/>
        </w:tabs>
        <w:snapToGrid w:val="0"/>
        <w:spacing w:before="156" w:beforeLines="50"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Arial Unicode MS"/>
          <w:kern w:val="0"/>
          <w:sz w:val="28"/>
          <w:szCs w:val="28"/>
        </w:rPr>
        <w:t>8、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025" o:spt="75" type="#_x0000_t75" style="height:13.95pt;width:11pt;" o:ole="t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-矩阵</w:t>
      </w:r>
    </w:p>
    <w:p w14:paraId="000CDDF4">
      <w:pPr>
        <w:tabs>
          <w:tab w:val="left" w:pos="180"/>
        </w:tabs>
        <w:snapToGrid w:val="0"/>
        <w:spacing w:before="156" w:beforeLines="50" w:line="360" w:lineRule="auto"/>
        <w:ind w:left="420" w:left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position w:val="-6"/>
          <w:sz w:val="28"/>
          <w:szCs w:val="28"/>
        </w:rPr>
        <w:object>
          <v:shape id="_x0000_i1026" o:spt="75" type="#_x0000_t75" style="height:13.95pt;width:11pt;" o:ole="t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-矩阵的标准形；矩阵的若当标准形的求法</w:t>
      </w:r>
    </w:p>
    <w:p w14:paraId="132D92DC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9、欧几里得空间</w:t>
      </w:r>
    </w:p>
    <w:p w14:paraId="65445BAB">
      <w:pPr>
        <w:spacing w:line="360" w:lineRule="auto"/>
        <w:ind w:left="420" w:left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积的定义和判定；欧几里得空间的定义和性质；欧氏空间标准正交基的定义和存在性定理；欧氏空间标准正交基的求法；欧氏空间的同构；正交矩阵；正交变换的定义和判定定理；欧氏子空间的定义和判定；对称变换的定义和性质；对称矩阵的标准形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1320"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  <w:lang/>
      </w:rPr>
      <w:t>1</w:t>
    </w:r>
    <w:r>
      <w:rPr>
        <w:rStyle w:val="15"/>
      </w:rPr>
      <w:fldChar w:fldCharType="end"/>
    </w:r>
  </w:p>
  <w:p w14:paraId="5074639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92544"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0A2B10F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5B"/>
    <w:rsid w:val="00001458"/>
    <w:rsid w:val="00001BAC"/>
    <w:rsid w:val="00006C5C"/>
    <w:rsid w:val="0001545D"/>
    <w:rsid w:val="000277BD"/>
    <w:rsid w:val="000378B9"/>
    <w:rsid w:val="00041184"/>
    <w:rsid w:val="000451B2"/>
    <w:rsid w:val="000518A0"/>
    <w:rsid w:val="000666A6"/>
    <w:rsid w:val="00072011"/>
    <w:rsid w:val="00077E52"/>
    <w:rsid w:val="00091383"/>
    <w:rsid w:val="0009302D"/>
    <w:rsid w:val="000A2B83"/>
    <w:rsid w:val="000C222C"/>
    <w:rsid w:val="000C2D65"/>
    <w:rsid w:val="000C7B4C"/>
    <w:rsid w:val="000D13AF"/>
    <w:rsid w:val="000D33C8"/>
    <w:rsid w:val="000D3EF7"/>
    <w:rsid w:val="000E13EA"/>
    <w:rsid w:val="000E7631"/>
    <w:rsid w:val="00101648"/>
    <w:rsid w:val="00103D21"/>
    <w:rsid w:val="00103D8D"/>
    <w:rsid w:val="001042A4"/>
    <w:rsid w:val="00117224"/>
    <w:rsid w:val="00121217"/>
    <w:rsid w:val="001306DB"/>
    <w:rsid w:val="001338DA"/>
    <w:rsid w:val="00141ED7"/>
    <w:rsid w:val="00143216"/>
    <w:rsid w:val="00145801"/>
    <w:rsid w:val="00156753"/>
    <w:rsid w:val="00156DCC"/>
    <w:rsid w:val="0016112D"/>
    <w:rsid w:val="001666AF"/>
    <w:rsid w:val="00172AC6"/>
    <w:rsid w:val="00172C23"/>
    <w:rsid w:val="001829E4"/>
    <w:rsid w:val="00182FD9"/>
    <w:rsid w:val="00183554"/>
    <w:rsid w:val="00190B3D"/>
    <w:rsid w:val="00195BD0"/>
    <w:rsid w:val="001C4823"/>
    <w:rsid w:val="001C4EE8"/>
    <w:rsid w:val="001C6856"/>
    <w:rsid w:val="001D6778"/>
    <w:rsid w:val="001E01EE"/>
    <w:rsid w:val="001E477F"/>
    <w:rsid w:val="001E74D4"/>
    <w:rsid w:val="00200040"/>
    <w:rsid w:val="00205209"/>
    <w:rsid w:val="00225BA5"/>
    <w:rsid w:val="002361F2"/>
    <w:rsid w:val="00241B96"/>
    <w:rsid w:val="00241CCB"/>
    <w:rsid w:val="00252019"/>
    <w:rsid w:val="00270C41"/>
    <w:rsid w:val="00286E49"/>
    <w:rsid w:val="00287501"/>
    <w:rsid w:val="002A378E"/>
    <w:rsid w:val="002A738A"/>
    <w:rsid w:val="002A7CDA"/>
    <w:rsid w:val="002B70FD"/>
    <w:rsid w:val="002C3293"/>
    <w:rsid w:val="002F06F2"/>
    <w:rsid w:val="002F46DA"/>
    <w:rsid w:val="00301CAE"/>
    <w:rsid w:val="0030211D"/>
    <w:rsid w:val="00303038"/>
    <w:rsid w:val="00304287"/>
    <w:rsid w:val="00306C14"/>
    <w:rsid w:val="00316567"/>
    <w:rsid w:val="00324CD9"/>
    <w:rsid w:val="00336D48"/>
    <w:rsid w:val="00342ADF"/>
    <w:rsid w:val="00346657"/>
    <w:rsid w:val="003538AE"/>
    <w:rsid w:val="00361913"/>
    <w:rsid w:val="003619F8"/>
    <w:rsid w:val="00366259"/>
    <w:rsid w:val="00367E16"/>
    <w:rsid w:val="00377042"/>
    <w:rsid w:val="0038755D"/>
    <w:rsid w:val="00393C75"/>
    <w:rsid w:val="003A66B7"/>
    <w:rsid w:val="003A6B00"/>
    <w:rsid w:val="003B7118"/>
    <w:rsid w:val="003C3F63"/>
    <w:rsid w:val="003D730D"/>
    <w:rsid w:val="003E3334"/>
    <w:rsid w:val="003E6782"/>
    <w:rsid w:val="003F1460"/>
    <w:rsid w:val="004045C0"/>
    <w:rsid w:val="004052C0"/>
    <w:rsid w:val="00406E8B"/>
    <w:rsid w:val="00416C5F"/>
    <w:rsid w:val="00421495"/>
    <w:rsid w:val="00423042"/>
    <w:rsid w:val="0044256E"/>
    <w:rsid w:val="00482C7F"/>
    <w:rsid w:val="004833F4"/>
    <w:rsid w:val="004A1C46"/>
    <w:rsid w:val="004C37FA"/>
    <w:rsid w:val="004F44F4"/>
    <w:rsid w:val="004F5883"/>
    <w:rsid w:val="00501AB5"/>
    <w:rsid w:val="00535927"/>
    <w:rsid w:val="00540ECA"/>
    <w:rsid w:val="0056266C"/>
    <w:rsid w:val="00571004"/>
    <w:rsid w:val="00573533"/>
    <w:rsid w:val="005745DC"/>
    <w:rsid w:val="0058771D"/>
    <w:rsid w:val="005A0E3F"/>
    <w:rsid w:val="005A787E"/>
    <w:rsid w:val="005B21F6"/>
    <w:rsid w:val="005B4611"/>
    <w:rsid w:val="005B5DDD"/>
    <w:rsid w:val="005E42A3"/>
    <w:rsid w:val="005E4A78"/>
    <w:rsid w:val="005F0539"/>
    <w:rsid w:val="005F5040"/>
    <w:rsid w:val="00603AAF"/>
    <w:rsid w:val="006122A2"/>
    <w:rsid w:val="00626A0B"/>
    <w:rsid w:val="0063552D"/>
    <w:rsid w:val="00640E3D"/>
    <w:rsid w:val="006863B2"/>
    <w:rsid w:val="006876C3"/>
    <w:rsid w:val="006910AA"/>
    <w:rsid w:val="006A635D"/>
    <w:rsid w:val="006B0D03"/>
    <w:rsid w:val="006B1DC3"/>
    <w:rsid w:val="006B25E2"/>
    <w:rsid w:val="006C5EF5"/>
    <w:rsid w:val="006D0413"/>
    <w:rsid w:val="006D7450"/>
    <w:rsid w:val="007000A3"/>
    <w:rsid w:val="007001A0"/>
    <w:rsid w:val="00703D80"/>
    <w:rsid w:val="007064B6"/>
    <w:rsid w:val="00707A83"/>
    <w:rsid w:val="00721C99"/>
    <w:rsid w:val="00724913"/>
    <w:rsid w:val="00744D25"/>
    <w:rsid w:val="00751006"/>
    <w:rsid w:val="00752AA0"/>
    <w:rsid w:val="00754B8D"/>
    <w:rsid w:val="007721BD"/>
    <w:rsid w:val="00777566"/>
    <w:rsid w:val="00787837"/>
    <w:rsid w:val="00787864"/>
    <w:rsid w:val="00791C90"/>
    <w:rsid w:val="00792635"/>
    <w:rsid w:val="007A253E"/>
    <w:rsid w:val="007A7439"/>
    <w:rsid w:val="007C0401"/>
    <w:rsid w:val="007C31DF"/>
    <w:rsid w:val="007C5AB9"/>
    <w:rsid w:val="007C5FC1"/>
    <w:rsid w:val="007C6DE3"/>
    <w:rsid w:val="007C7FB7"/>
    <w:rsid w:val="007D1892"/>
    <w:rsid w:val="007D3782"/>
    <w:rsid w:val="007E1E2C"/>
    <w:rsid w:val="007E7292"/>
    <w:rsid w:val="008118AC"/>
    <w:rsid w:val="008132AE"/>
    <w:rsid w:val="0081362B"/>
    <w:rsid w:val="008255C6"/>
    <w:rsid w:val="008319B9"/>
    <w:rsid w:val="008409FE"/>
    <w:rsid w:val="00842B01"/>
    <w:rsid w:val="00842E0F"/>
    <w:rsid w:val="00855665"/>
    <w:rsid w:val="00863853"/>
    <w:rsid w:val="00866BC8"/>
    <w:rsid w:val="00872572"/>
    <w:rsid w:val="0087747F"/>
    <w:rsid w:val="0088584A"/>
    <w:rsid w:val="00886944"/>
    <w:rsid w:val="008A115B"/>
    <w:rsid w:val="008A1ECC"/>
    <w:rsid w:val="008A501E"/>
    <w:rsid w:val="008B54A5"/>
    <w:rsid w:val="008B75D8"/>
    <w:rsid w:val="008D10CC"/>
    <w:rsid w:val="008D75AF"/>
    <w:rsid w:val="008E0684"/>
    <w:rsid w:val="008F1EE2"/>
    <w:rsid w:val="008F4C12"/>
    <w:rsid w:val="008F4DEF"/>
    <w:rsid w:val="008F5463"/>
    <w:rsid w:val="0090179D"/>
    <w:rsid w:val="00907710"/>
    <w:rsid w:val="00923465"/>
    <w:rsid w:val="00925C19"/>
    <w:rsid w:val="00933F4D"/>
    <w:rsid w:val="00944AE3"/>
    <w:rsid w:val="00944C60"/>
    <w:rsid w:val="00953FC3"/>
    <w:rsid w:val="0097089F"/>
    <w:rsid w:val="00977D48"/>
    <w:rsid w:val="00982DE2"/>
    <w:rsid w:val="00983D3E"/>
    <w:rsid w:val="0098754B"/>
    <w:rsid w:val="009A045B"/>
    <w:rsid w:val="009A1081"/>
    <w:rsid w:val="009B65AC"/>
    <w:rsid w:val="009C79DB"/>
    <w:rsid w:val="009D70C1"/>
    <w:rsid w:val="009E72CA"/>
    <w:rsid w:val="00A14632"/>
    <w:rsid w:val="00A1521E"/>
    <w:rsid w:val="00A17997"/>
    <w:rsid w:val="00A2015B"/>
    <w:rsid w:val="00A330B9"/>
    <w:rsid w:val="00A40DAA"/>
    <w:rsid w:val="00A40E55"/>
    <w:rsid w:val="00A42D2A"/>
    <w:rsid w:val="00A44286"/>
    <w:rsid w:val="00A44BEC"/>
    <w:rsid w:val="00A5419B"/>
    <w:rsid w:val="00A65DB2"/>
    <w:rsid w:val="00A8182C"/>
    <w:rsid w:val="00A821F6"/>
    <w:rsid w:val="00A85CE3"/>
    <w:rsid w:val="00A864C1"/>
    <w:rsid w:val="00A947BD"/>
    <w:rsid w:val="00AA29B0"/>
    <w:rsid w:val="00AC0C1A"/>
    <w:rsid w:val="00AE17DA"/>
    <w:rsid w:val="00AE49D6"/>
    <w:rsid w:val="00AF456C"/>
    <w:rsid w:val="00AF6D11"/>
    <w:rsid w:val="00AF790B"/>
    <w:rsid w:val="00B0663A"/>
    <w:rsid w:val="00B438B2"/>
    <w:rsid w:val="00B5618D"/>
    <w:rsid w:val="00B63728"/>
    <w:rsid w:val="00B70E35"/>
    <w:rsid w:val="00B75C63"/>
    <w:rsid w:val="00B8210A"/>
    <w:rsid w:val="00B851E8"/>
    <w:rsid w:val="00B87946"/>
    <w:rsid w:val="00B95E37"/>
    <w:rsid w:val="00BA2826"/>
    <w:rsid w:val="00BA39A6"/>
    <w:rsid w:val="00BB44B2"/>
    <w:rsid w:val="00BB7729"/>
    <w:rsid w:val="00BB7EF1"/>
    <w:rsid w:val="00BC6E5B"/>
    <w:rsid w:val="00BD508F"/>
    <w:rsid w:val="00BE0DF0"/>
    <w:rsid w:val="00BF51AB"/>
    <w:rsid w:val="00C012D6"/>
    <w:rsid w:val="00C014A0"/>
    <w:rsid w:val="00C60729"/>
    <w:rsid w:val="00C714F7"/>
    <w:rsid w:val="00C73BDD"/>
    <w:rsid w:val="00C7510E"/>
    <w:rsid w:val="00C76A1E"/>
    <w:rsid w:val="00C77F81"/>
    <w:rsid w:val="00C85D26"/>
    <w:rsid w:val="00C93385"/>
    <w:rsid w:val="00C9712E"/>
    <w:rsid w:val="00C9784C"/>
    <w:rsid w:val="00CA1E06"/>
    <w:rsid w:val="00CA3892"/>
    <w:rsid w:val="00CA68EC"/>
    <w:rsid w:val="00CA7A2A"/>
    <w:rsid w:val="00CD71E2"/>
    <w:rsid w:val="00CF4990"/>
    <w:rsid w:val="00CF4B42"/>
    <w:rsid w:val="00D02599"/>
    <w:rsid w:val="00D0433C"/>
    <w:rsid w:val="00D25CC1"/>
    <w:rsid w:val="00D355AF"/>
    <w:rsid w:val="00D363E0"/>
    <w:rsid w:val="00D46D3A"/>
    <w:rsid w:val="00D633AA"/>
    <w:rsid w:val="00D6776C"/>
    <w:rsid w:val="00D70B85"/>
    <w:rsid w:val="00D71FA0"/>
    <w:rsid w:val="00D818A6"/>
    <w:rsid w:val="00D90BBD"/>
    <w:rsid w:val="00D94EED"/>
    <w:rsid w:val="00DA1732"/>
    <w:rsid w:val="00DD0C76"/>
    <w:rsid w:val="00DD41D6"/>
    <w:rsid w:val="00DE74E0"/>
    <w:rsid w:val="00DF185A"/>
    <w:rsid w:val="00DF1D3A"/>
    <w:rsid w:val="00DF318C"/>
    <w:rsid w:val="00DF5427"/>
    <w:rsid w:val="00E058D9"/>
    <w:rsid w:val="00E14CA3"/>
    <w:rsid w:val="00E22F19"/>
    <w:rsid w:val="00E240BE"/>
    <w:rsid w:val="00E334D4"/>
    <w:rsid w:val="00E34530"/>
    <w:rsid w:val="00E44B7E"/>
    <w:rsid w:val="00E469B0"/>
    <w:rsid w:val="00E60B30"/>
    <w:rsid w:val="00E741E0"/>
    <w:rsid w:val="00E74239"/>
    <w:rsid w:val="00E904DD"/>
    <w:rsid w:val="00EA0732"/>
    <w:rsid w:val="00EA1910"/>
    <w:rsid w:val="00EC4749"/>
    <w:rsid w:val="00ED1733"/>
    <w:rsid w:val="00EE2955"/>
    <w:rsid w:val="00EF2407"/>
    <w:rsid w:val="00F03A47"/>
    <w:rsid w:val="00F07B26"/>
    <w:rsid w:val="00F17E6F"/>
    <w:rsid w:val="00F23266"/>
    <w:rsid w:val="00F23837"/>
    <w:rsid w:val="00F265BB"/>
    <w:rsid w:val="00F26CD8"/>
    <w:rsid w:val="00F30BFD"/>
    <w:rsid w:val="00F31809"/>
    <w:rsid w:val="00F32E8E"/>
    <w:rsid w:val="00F435EB"/>
    <w:rsid w:val="00F442A2"/>
    <w:rsid w:val="00F6359A"/>
    <w:rsid w:val="00F97C05"/>
    <w:rsid w:val="00FA1AF0"/>
    <w:rsid w:val="00FB195C"/>
    <w:rsid w:val="00FC2CC2"/>
    <w:rsid w:val="00FD0256"/>
    <w:rsid w:val="00FE53AA"/>
    <w:rsid w:val="00FE7DBA"/>
    <w:rsid w:val="00FF3A5A"/>
    <w:rsid w:val="00FF6329"/>
    <w:rsid w:val="08AD7D7E"/>
    <w:rsid w:val="35B67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link w:val="20"/>
    <w:semiHidden/>
    <w:unhideWhenUsed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link w:val="18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annotation subject"/>
    <w:basedOn w:val="2"/>
    <w:next w:val="2"/>
    <w:semiHidden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annotation reference"/>
    <w:semiHidden/>
    <w:uiPriority w:val="0"/>
    <w:rPr>
      <w:sz w:val="21"/>
      <w:szCs w:val="21"/>
    </w:rPr>
  </w:style>
  <w:style w:type="character" w:customStyle="1" w:styleId="17">
    <w:name w:val="页眉 Char"/>
    <w:link w:val="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正文文本缩进 2 Char"/>
    <w:link w:val="6"/>
    <w:uiPriority w:val="0"/>
    <w:rPr>
      <w:rFonts w:ascii="宋体" w:hAnsi="Times New Roman"/>
      <w:kern w:val="2"/>
      <w:sz w:val="24"/>
      <w:szCs w:val="24"/>
    </w:rPr>
  </w:style>
  <w:style w:type="character" w:customStyle="1" w:styleId="19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缩进 Char"/>
    <w:link w:val="3"/>
    <w:semiHidden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全国会计硕士专业学位教育指导委员会秘书处</Company>
  <Pages>3</Pages>
  <Words>170</Words>
  <Characters>969</Characters>
  <Lines>8</Lines>
  <Paragraphs>2</Paragraphs>
  <TotalTime>0</TotalTime>
  <ScaleCrop>false</ScaleCrop>
  <LinksUpToDate>false</LinksUpToDate>
  <CharactersWithSpaces>1137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2018-08-30T07:32:00Z</dcterms:created>
  <dc:creator>孙水</dc:creator>
  <cp:lastModifiedBy>vertesyuan</cp:lastModifiedBy>
  <cp:lastPrinted>2014-07-10T08:20:00Z</cp:lastPrinted>
  <dcterms:modified xsi:type="dcterms:W3CDTF">2024-09-23T03:56:33Z</dcterms:modified>
  <dc:title>全国会计硕士专业学位教育指导委员会秘书处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BC786AA8A72B4ABC91C2216051047CAA_13</vt:lpwstr>
  </property>
</Properties>
</file>