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1602"/>
        <w:spacing w:before="117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0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pStyle w:val="BodyText"/>
        <w:ind w:left="1247"/>
        <w:spacing w:before="269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（科目名称：微观经济学      科目代码:825）</w:t>
      </w:r>
    </w:p>
    <w:p>
      <w:pPr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24" w:right="11" w:firstLine="479"/>
        <w:spacing w:before="291" w:line="456" w:lineRule="auto"/>
        <w:jc w:val="both"/>
        <w:rPr/>
      </w:pPr>
      <w:r>
        <w:rPr>
          <w:spacing w:val="4"/>
        </w:rPr>
        <w:t>《微观经济学》是我校应用经济学一级学科硕士研究生招生考试的初试科</w:t>
      </w:r>
      <w:r>
        <w:rPr>
          <w:spacing w:val="9"/>
        </w:rPr>
        <w:t xml:space="preserve"> </w:t>
      </w:r>
      <w:r>
        <w:rPr>
          <w:spacing w:val="-3"/>
        </w:rPr>
        <w:t>目，旨在测试考生是否具备攻读应用经济学专业硕士所必须的基本素质、</w:t>
      </w:r>
      <w:r>
        <w:rPr>
          <w:spacing w:val="-4"/>
        </w:rPr>
        <w:t>一般能</w:t>
      </w:r>
      <w:r>
        <w:rPr/>
        <w:t xml:space="preserve"> </w:t>
      </w:r>
      <w:r>
        <w:rPr>
          <w:spacing w:val="-3"/>
        </w:rPr>
        <w:t>力和培养潜能，以利于选拔具有发展潜力的优秀人才入学，为国家的经济</w:t>
      </w:r>
      <w:r>
        <w:rPr>
          <w:spacing w:val="-4"/>
        </w:rPr>
        <w:t>建设培</w:t>
      </w:r>
      <w:r>
        <w:rPr/>
        <w:t xml:space="preserve"> </w:t>
      </w:r>
      <w:r>
        <w:rPr>
          <w:spacing w:val="-3"/>
        </w:rPr>
        <w:t>养深厚经济学基础、职业道德良好、国际视野广阔、分析和解决实际问题能力较</w:t>
      </w:r>
      <w:r>
        <w:rPr/>
        <w:t xml:space="preserve"> </w:t>
      </w:r>
      <w:r>
        <w:rPr>
          <w:spacing w:val="-2"/>
        </w:rPr>
        <w:t>强的高层次、复合型的应用经济专业人才。</w:t>
      </w:r>
      <w:r>
        <w:rPr>
          <w:spacing w:val="-3"/>
        </w:rPr>
        <w:t>主要考查目标如下：</w:t>
      </w:r>
    </w:p>
    <w:p>
      <w:pPr>
        <w:pStyle w:val="BodyText"/>
        <w:ind w:left="522"/>
        <w:spacing w:before="3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4"/>
        </w:rPr>
        <w:t>、考生对微观经济学的基本概念、基本理论和分析方法的掌握程度；</w:t>
      </w:r>
    </w:p>
    <w:p>
      <w:pPr>
        <w:pStyle w:val="BodyText"/>
        <w:ind w:left="499"/>
        <w:spacing w:before="31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、考生融会贯通、灵活运用微观经济学原理和知</w:t>
      </w:r>
      <w:r>
        <w:rPr>
          <w:spacing w:val="-4"/>
        </w:rPr>
        <w:t>识的能力；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、考生发现、分析和解决现实经济问题的能</w:t>
      </w:r>
      <w:r>
        <w:rPr>
          <w:spacing w:val="-5"/>
        </w:rPr>
        <w:t>力；</w:t>
      </w:r>
    </w:p>
    <w:p>
      <w:pPr>
        <w:pStyle w:val="BodyText"/>
        <w:ind w:left="498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、考生对经济热点和经济学研究动态的了解情况。</w:t>
      </w:r>
    </w:p>
    <w:p>
      <w:pPr>
        <w:pStyle w:val="BodyText"/>
        <w:ind w:left="32"/>
        <w:spacing w:before="248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5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1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1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22"/>
        <w:spacing w:before="300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5"/>
        </w:rPr>
        <w:t>、简答题：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5"/>
        </w:rPr>
        <w:t>小题，每小题 </w:t>
      </w:r>
      <w:r>
        <w:rPr>
          <w:rFonts w:ascii="Times New Roman" w:hAnsi="Times New Roman" w:eastAsia="Times New Roman" w:cs="Times New Roman"/>
          <w:spacing w:val="-5"/>
        </w:rPr>
        <w:t>10 </w:t>
      </w:r>
      <w:r>
        <w:rPr>
          <w:spacing w:val="-5"/>
        </w:rPr>
        <w:t>分，</w:t>
      </w:r>
      <w:r>
        <w:rPr>
          <w:spacing w:val="-6"/>
        </w:rPr>
        <w:t>共计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 </w:t>
      </w:r>
      <w:r>
        <w:rPr>
          <w:spacing w:val="-6"/>
        </w:rPr>
        <w:t>分；</w:t>
      </w:r>
    </w:p>
    <w:p>
      <w:pPr>
        <w:pStyle w:val="BodyText"/>
        <w:ind w:left="499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5"/>
        </w:rPr>
        <w:t>、计算题：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5"/>
        </w:rPr>
        <w:t>小题，每小题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 </w:t>
      </w:r>
      <w:r>
        <w:rPr>
          <w:spacing w:val="-5"/>
        </w:rPr>
        <w:t>分，共计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30 </w:t>
      </w:r>
      <w:r>
        <w:rPr>
          <w:spacing w:val="-5"/>
        </w:rPr>
        <w:t>分；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、论述题：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4"/>
        </w:rPr>
        <w:t>小题，每小题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25 </w:t>
      </w:r>
      <w:r>
        <w:rPr>
          <w:spacing w:val="-4"/>
        </w:rPr>
        <w:t>分，共计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 </w:t>
      </w:r>
      <w:r>
        <w:rPr>
          <w:spacing w:val="-4"/>
        </w:rPr>
        <w:t>分。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4"/>
        <w:spacing w:before="248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33" w:right="13" w:firstLine="471"/>
        <w:spacing w:before="303" w:line="435" w:lineRule="auto"/>
        <w:rPr/>
      </w:pPr>
      <w:r>
        <w:rPr>
          <w:spacing w:val="-7"/>
        </w:rPr>
        <w:t>《西方经济学（上）》， 马克思主义理论研究和建设工程重点教材，高等教</w:t>
      </w:r>
      <w:r>
        <w:rPr>
          <w:spacing w:val="13"/>
        </w:rPr>
        <w:t xml:space="preserve"> </w:t>
      </w:r>
      <w:r>
        <w:rPr>
          <w:spacing w:val="-5"/>
        </w:rPr>
        <w:t>育出版社，2019.9</w:t>
      </w:r>
      <w:r>
        <w:rPr>
          <w:spacing w:val="-39"/>
        </w:rPr>
        <w:t xml:space="preserve"> </w:t>
      </w:r>
      <w:r>
        <w:rPr>
          <w:spacing w:val="-5"/>
        </w:rPr>
        <w:t>第</w:t>
      </w:r>
      <w:r>
        <w:rPr>
          <w:spacing w:val="-48"/>
        </w:rPr>
        <w:t xml:space="preserve"> </w:t>
      </w:r>
      <w:r>
        <w:rPr>
          <w:spacing w:val="-5"/>
        </w:rPr>
        <w:t>2</w:t>
      </w:r>
      <w:r>
        <w:rPr>
          <w:spacing w:val="-50"/>
        </w:rPr>
        <w:t xml:space="preserve"> </w:t>
      </w:r>
      <w:r>
        <w:rPr>
          <w:spacing w:val="-5"/>
        </w:rPr>
        <w:t>版。</w:t>
      </w:r>
    </w:p>
    <w:p>
      <w:pPr>
        <w:pStyle w:val="BodyText"/>
        <w:ind w:left="26"/>
        <w:spacing w:before="1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512"/>
        <w:spacing w:before="289" w:line="219" w:lineRule="auto"/>
        <w:outlineLvl w:val="2"/>
        <w:rPr/>
      </w:pPr>
      <w:r>
        <w:rPr>
          <w:b/>
          <w:bCs/>
          <w:spacing w:val="-3"/>
        </w:rPr>
        <w:t>（一）需求和供给曲线概述以及有关的基本概念</w:t>
      </w:r>
    </w:p>
    <w:p>
      <w:pPr>
        <w:pStyle w:val="BodyText"/>
        <w:ind w:left="522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、微观经济学的特点</w:t>
      </w:r>
    </w:p>
    <w:p>
      <w:pPr>
        <w:pStyle w:val="BodyText"/>
        <w:ind w:left="499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、需求曲线</w:t>
      </w:r>
    </w:p>
    <w:p>
      <w:pPr>
        <w:pStyle w:val="BodyText"/>
        <w:ind w:left="504"/>
        <w:spacing w:before="31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、供给曲线</w:t>
      </w:r>
    </w:p>
    <w:p>
      <w:pPr>
        <w:pStyle w:val="BodyText"/>
        <w:ind w:left="498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、供求曲线的共同作用</w:t>
      </w:r>
    </w:p>
    <w:p>
      <w:pPr>
        <w:pStyle w:val="BodyText"/>
        <w:ind w:left="505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、经济模型、静态分析、比较静态分析和动态分析</w:t>
      </w:r>
    </w:p>
    <w:p>
      <w:pPr>
        <w:pStyle w:val="BodyText"/>
        <w:ind w:left="504"/>
        <w:spacing w:before="31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、需求弹性和供给弹性</w:t>
      </w:r>
    </w:p>
    <w:p>
      <w:pPr>
        <w:pStyle w:val="BodyText"/>
        <w:ind w:left="512"/>
        <w:spacing w:before="316" w:line="220" w:lineRule="auto"/>
        <w:outlineLvl w:val="2"/>
        <w:rPr/>
      </w:pPr>
      <w:r>
        <w:rPr>
          <w:b/>
          <w:bCs/>
          <w:spacing w:val="-14"/>
        </w:rPr>
        <w:t>（二）</w:t>
      </w:r>
      <w:r>
        <w:rPr>
          <w:spacing w:val="-66"/>
        </w:rPr>
        <w:t xml:space="preserve"> </w:t>
      </w:r>
      <w:r>
        <w:rPr>
          <w:b/>
          <w:bCs/>
          <w:spacing w:val="-14"/>
        </w:rPr>
        <w:t>效用论</w:t>
      </w:r>
    </w:p>
    <w:p>
      <w:pPr>
        <w:pStyle w:val="BodyText"/>
        <w:ind w:left="522"/>
        <w:spacing w:before="313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、效用论概述</w:t>
      </w:r>
    </w:p>
    <w:p>
      <w:pPr>
        <w:pStyle w:val="BodyText"/>
        <w:ind w:left="499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、无差异曲线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、预算线</w:t>
      </w:r>
    </w:p>
    <w:p>
      <w:pPr>
        <w:pStyle w:val="BodyText"/>
        <w:ind w:left="498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、消费者的均衡</w:t>
      </w:r>
    </w:p>
    <w:p>
      <w:pPr>
        <w:pStyle w:val="BodyText"/>
        <w:ind w:left="505"/>
        <w:spacing w:before="314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、价格变化和收入变化对消费者均衡的影响</w:t>
      </w:r>
    </w:p>
    <w:p>
      <w:pPr>
        <w:pStyle w:val="BodyText"/>
        <w:ind w:left="504"/>
        <w:spacing w:before="31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、替代效应和收入效应</w:t>
      </w:r>
    </w:p>
    <w:p>
      <w:pPr>
        <w:pStyle w:val="BodyText"/>
        <w:ind w:left="512"/>
        <w:spacing w:before="314" w:line="220" w:lineRule="auto"/>
        <w:outlineLvl w:val="2"/>
        <w:rPr/>
      </w:pPr>
      <w:r>
        <w:rPr>
          <w:b/>
          <w:bCs/>
          <w:spacing w:val="-14"/>
        </w:rPr>
        <w:t>（三）</w:t>
      </w:r>
      <w:r>
        <w:rPr>
          <w:spacing w:val="-68"/>
        </w:rPr>
        <w:t xml:space="preserve"> </w:t>
      </w:r>
      <w:r>
        <w:rPr>
          <w:b/>
          <w:bCs/>
          <w:spacing w:val="-14"/>
        </w:rPr>
        <w:t>生产论</w:t>
      </w:r>
    </w:p>
    <w:p>
      <w:pPr>
        <w:pStyle w:val="BodyText"/>
        <w:ind w:left="522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spacing w:val="-10"/>
        </w:rPr>
        <w:t>、厂商</w:t>
      </w:r>
    </w:p>
    <w:p>
      <w:pPr>
        <w:pStyle w:val="BodyText"/>
        <w:ind w:left="499"/>
        <w:spacing w:before="31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、生产函数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、一种可变生产要素的生产函数</w:t>
      </w:r>
    </w:p>
    <w:p>
      <w:pPr>
        <w:pStyle w:val="BodyText"/>
        <w:ind w:left="498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、两种可变生产要素的生产函数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5"/>
        <w:spacing w:before="282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spacing w:val="-5"/>
        </w:rPr>
        <w:t>、等成本线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、最优的生产要素组合</w:t>
      </w:r>
    </w:p>
    <w:p>
      <w:pPr>
        <w:pStyle w:val="BodyText"/>
        <w:ind w:left="503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、利润最大化可以得到最优的生产要素组合</w:t>
      </w:r>
    </w:p>
    <w:p>
      <w:pPr>
        <w:pStyle w:val="BodyText"/>
        <w:ind w:left="509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spacing w:val="-6"/>
        </w:rPr>
        <w:t>、扩展线</w:t>
      </w:r>
    </w:p>
    <w:p>
      <w:pPr>
        <w:pStyle w:val="BodyText"/>
        <w:ind w:left="504"/>
        <w:spacing w:before="31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spacing w:val="-4"/>
        </w:rPr>
        <w:t>、规模报酬</w:t>
      </w:r>
    </w:p>
    <w:p>
      <w:pPr>
        <w:pStyle w:val="BodyText"/>
        <w:ind w:left="512"/>
        <w:spacing w:before="315" w:line="219" w:lineRule="auto"/>
        <w:outlineLvl w:val="2"/>
        <w:rPr/>
      </w:pPr>
      <w:r>
        <w:rPr>
          <w:b/>
          <w:bCs/>
          <w:spacing w:val="-14"/>
        </w:rPr>
        <w:t>（四）</w:t>
      </w:r>
      <w:r>
        <w:rPr>
          <w:spacing w:val="-68"/>
        </w:rPr>
        <w:t xml:space="preserve"> </w:t>
      </w:r>
      <w:r>
        <w:rPr>
          <w:b/>
          <w:bCs/>
          <w:spacing w:val="-14"/>
        </w:rPr>
        <w:t>成本论</w:t>
      </w:r>
    </w:p>
    <w:p>
      <w:pPr>
        <w:pStyle w:val="BodyText"/>
        <w:ind w:left="522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、成本的概念</w:t>
      </w:r>
    </w:p>
    <w:p>
      <w:pPr>
        <w:pStyle w:val="BodyText"/>
        <w:ind w:left="499"/>
        <w:spacing w:before="31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、短期总产量和短期总成本</w:t>
      </w:r>
    </w:p>
    <w:p>
      <w:pPr>
        <w:pStyle w:val="BodyText"/>
        <w:ind w:left="504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、短期成本曲线</w:t>
      </w:r>
    </w:p>
    <w:p>
      <w:pPr>
        <w:pStyle w:val="BodyText"/>
        <w:ind w:left="498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、短期产量曲线与短期成本曲线之间的关系</w:t>
      </w:r>
    </w:p>
    <w:p>
      <w:pPr>
        <w:pStyle w:val="BodyText"/>
        <w:ind w:left="505"/>
        <w:spacing w:before="31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、长期总成本</w:t>
      </w:r>
    </w:p>
    <w:p>
      <w:pPr>
        <w:pStyle w:val="BodyText"/>
        <w:ind w:left="504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、长期平均成本与长期边际成本</w:t>
      </w:r>
    </w:p>
    <w:p>
      <w:pPr>
        <w:pStyle w:val="BodyText"/>
        <w:ind w:left="512"/>
        <w:spacing w:before="315" w:line="220" w:lineRule="auto"/>
        <w:outlineLvl w:val="2"/>
        <w:rPr/>
      </w:pPr>
      <w:r>
        <w:rPr>
          <w:b/>
          <w:bCs/>
          <w:spacing w:val="-10"/>
        </w:rPr>
        <w:t>（五）</w:t>
      </w:r>
      <w:r>
        <w:rPr>
          <w:spacing w:val="-64"/>
        </w:rPr>
        <w:t xml:space="preserve"> </w:t>
      </w:r>
      <w:r>
        <w:rPr>
          <w:b/>
          <w:bCs/>
          <w:spacing w:val="-10"/>
        </w:rPr>
        <w:t>完全竞争市场</w:t>
      </w:r>
    </w:p>
    <w:p>
      <w:pPr>
        <w:pStyle w:val="BodyText"/>
        <w:ind w:left="522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、厂商和市场类型</w:t>
      </w:r>
    </w:p>
    <w:p>
      <w:pPr>
        <w:pStyle w:val="BodyText"/>
        <w:ind w:left="499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、完全竞争厂商的需求曲线和收益曲线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、厂商实现利润最大化的均衡条件</w:t>
      </w:r>
    </w:p>
    <w:p>
      <w:pPr>
        <w:pStyle w:val="BodyText"/>
        <w:ind w:left="498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、完全竞争厂商的短期均衡和短期供给曲线</w:t>
      </w:r>
    </w:p>
    <w:p>
      <w:pPr>
        <w:pStyle w:val="BodyText"/>
        <w:ind w:left="505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、完全竞争行业的短期供给曲线</w:t>
      </w:r>
    </w:p>
    <w:p>
      <w:pPr>
        <w:pStyle w:val="BodyText"/>
        <w:ind w:left="504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、完全竞争厂商的长期均衡</w:t>
      </w:r>
    </w:p>
    <w:p>
      <w:pPr>
        <w:pStyle w:val="BodyText"/>
        <w:ind w:left="503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、完全竞争行业的长期供给曲线</w:t>
      </w:r>
    </w:p>
    <w:p>
      <w:pPr>
        <w:pStyle w:val="BodyText"/>
        <w:ind w:left="509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、完全竞争市场的短期均衡和长期均衡</w:t>
      </w:r>
    </w:p>
    <w:p>
      <w:pPr>
        <w:pStyle w:val="BodyText"/>
        <w:ind w:left="512"/>
        <w:spacing w:before="314" w:line="220" w:lineRule="auto"/>
        <w:outlineLvl w:val="2"/>
        <w:rPr/>
      </w:pPr>
      <w:r>
        <w:rPr>
          <w:b/>
          <w:bCs/>
          <w:spacing w:val="-10"/>
        </w:rPr>
        <w:t>（六）</w:t>
      </w:r>
      <w:r>
        <w:rPr>
          <w:spacing w:val="-62"/>
        </w:rPr>
        <w:t xml:space="preserve"> </w:t>
      </w:r>
      <w:r>
        <w:rPr>
          <w:b/>
          <w:bCs/>
          <w:spacing w:val="-10"/>
        </w:rPr>
        <w:t>不完全竞争市场</w:t>
      </w:r>
    </w:p>
    <w:p>
      <w:pPr>
        <w:spacing w:line="220" w:lineRule="auto"/>
        <w:sectPr>
          <w:footerReference w:type="default" r:id="rId1"/>
          <w:pgSz w:w="11907" w:h="16839"/>
          <w:pgMar w:top="1431" w:right="1785" w:bottom="1922" w:left="1785" w:header="0" w:footer="1637" w:gutter="0"/>
        </w:sectPr>
        <w:rPr/>
      </w:pPr>
    </w:p>
    <w:p>
      <w:pPr>
        <w:pStyle w:val="BodyText"/>
        <w:ind w:left="499"/>
        <w:spacing w:before="2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、垄断竞争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、寡头</w:t>
      </w:r>
    </w:p>
    <w:p>
      <w:pPr>
        <w:pStyle w:val="BodyText"/>
        <w:ind w:left="498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、不同市场的经济效率的比较</w:t>
      </w:r>
    </w:p>
    <w:p>
      <w:pPr>
        <w:pStyle w:val="BodyText"/>
        <w:ind w:left="512"/>
        <w:spacing w:before="314" w:line="218" w:lineRule="auto"/>
        <w:outlineLvl w:val="2"/>
        <w:rPr/>
      </w:pPr>
      <w:r>
        <w:rPr>
          <w:b/>
          <w:bCs/>
          <w:spacing w:val="-7"/>
        </w:rPr>
        <w:t>（七）</w:t>
      </w:r>
      <w:r>
        <w:rPr>
          <w:spacing w:val="-60"/>
        </w:rPr>
        <w:t xml:space="preserve"> </w:t>
      </w:r>
      <w:r>
        <w:rPr>
          <w:b/>
          <w:bCs/>
          <w:spacing w:val="-7"/>
        </w:rPr>
        <w:t>生产要素价格决定的需求方面</w:t>
      </w:r>
    </w:p>
    <w:p>
      <w:pPr>
        <w:pStyle w:val="BodyText"/>
        <w:ind w:left="522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、分配论概述</w:t>
      </w:r>
    </w:p>
    <w:p>
      <w:pPr>
        <w:pStyle w:val="BodyText"/>
        <w:ind w:left="499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、引致需求</w:t>
      </w:r>
    </w:p>
    <w:p>
      <w:pPr>
        <w:pStyle w:val="BodyText"/>
        <w:ind w:left="504"/>
        <w:spacing w:before="31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、完全竞争厂商使用生产要素的原则</w:t>
      </w:r>
    </w:p>
    <w:p>
      <w:pPr>
        <w:pStyle w:val="BodyText"/>
        <w:ind w:left="498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、完全竞争厂商对生产要素的需求曲线</w:t>
      </w:r>
    </w:p>
    <w:p>
      <w:pPr>
        <w:pStyle w:val="BodyText"/>
        <w:ind w:left="512"/>
        <w:spacing w:before="315" w:line="218" w:lineRule="auto"/>
        <w:outlineLvl w:val="2"/>
        <w:rPr/>
      </w:pPr>
      <w:r>
        <w:rPr>
          <w:b/>
          <w:bCs/>
          <w:spacing w:val="-7"/>
        </w:rPr>
        <w:t>（八）</w:t>
      </w:r>
      <w:r>
        <w:rPr>
          <w:spacing w:val="-60"/>
        </w:rPr>
        <w:t xml:space="preserve"> </w:t>
      </w:r>
      <w:r>
        <w:rPr>
          <w:b/>
          <w:bCs/>
          <w:spacing w:val="-7"/>
        </w:rPr>
        <w:t>生产要素价格决定的供给方面</w:t>
      </w:r>
    </w:p>
    <w:p>
      <w:pPr>
        <w:pStyle w:val="BodyText"/>
        <w:ind w:left="522"/>
        <w:spacing w:before="31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、对供给方面的概述</w:t>
      </w:r>
    </w:p>
    <w:p>
      <w:pPr>
        <w:pStyle w:val="BodyText"/>
        <w:ind w:left="499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、对劳动供给曲线和工资的决定</w:t>
      </w:r>
    </w:p>
    <w:p>
      <w:pPr>
        <w:pStyle w:val="BodyText"/>
        <w:ind w:left="504"/>
        <w:spacing w:before="31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、土地的供给曲线和地租的决定</w:t>
      </w:r>
    </w:p>
    <w:p>
      <w:pPr>
        <w:pStyle w:val="BodyText"/>
        <w:ind w:left="498"/>
        <w:spacing w:before="31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、资本的供给曲线和利息的决定</w:t>
      </w:r>
    </w:p>
    <w:p>
      <w:pPr>
        <w:pStyle w:val="BodyText"/>
        <w:ind w:left="505"/>
        <w:spacing w:before="31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、洛伦兹曲线和基尼系数</w:t>
      </w:r>
    </w:p>
    <w:p>
      <w:pPr>
        <w:pStyle w:val="BodyText"/>
        <w:ind w:left="512"/>
        <w:spacing w:before="314" w:line="220" w:lineRule="auto"/>
        <w:outlineLvl w:val="2"/>
        <w:rPr/>
      </w:pPr>
      <w:r>
        <w:rPr>
          <w:b/>
          <w:bCs/>
          <w:spacing w:val="-7"/>
        </w:rPr>
        <w:t>（九）</w:t>
      </w:r>
      <w:r>
        <w:rPr>
          <w:spacing w:val="-64"/>
        </w:rPr>
        <w:t xml:space="preserve"> </w:t>
      </w:r>
      <w:r>
        <w:rPr>
          <w:b/>
          <w:bCs/>
          <w:spacing w:val="-7"/>
        </w:rPr>
        <w:t>市场失灵和微观经济政策</w:t>
      </w:r>
    </w:p>
    <w:p>
      <w:pPr>
        <w:pStyle w:val="BodyText"/>
        <w:ind w:left="522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13"/>
        </w:rPr>
        <w:t>、垄断</w:t>
      </w:r>
    </w:p>
    <w:p>
      <w:pPr>
        <w:pStyle w:val="BodyText"/>
        <w:ind w:left="499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、外部影响</w:t>
      </w:r>
    </w:p>
    <w:p>
      <w:pPr>
        <w:pStyle w:val="BodyText"/>
        <w:ind w:left="504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、公共物品</w:t>
      </w:r>
    </w:p>
    <w:p>
      <w:pPr>
        <w:pStyle w:val="BodyText"/>
        <w:ind w:left="498"/>
        <w:spacing w:before="31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、不完全信息</w:t>
      </w:r>
    </w:p>
    <w:sectPr>
      <w:footerReference w:type="default" r:id="rId2"/>
      <w:pgSz w:w="11907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2"/>
      <w:spacing w:before="1" w:line="211" w:lineRule="auto"/>
      <w:rPr/>
    </w:pPr>
    <w:r>
      <w:rPr>
        <w:rFonts w:ascii="Times New Roman" w:hAnsi="Times New Roman" w:eastAsia="Times New Roman" w:cs="Times New Roman"/>
        <w:spacing w:val="-9"/>
      </w:rPr>
      <w:t>1</w:t>
    </w:r>
    <w:r>
      <w:rPr>
        <w:spacing w:val="-9"/>
      </w:rPr>
      <w:t>、垄断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《农业知识综合》命题指导意见</dc:title>
  <dc:creator>ibm</dc:creator>
  <dcterms:created xsi:type="dcterms:W3CDTF">2024-06-11T08:36:50Z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2024-09-23T17:18:33</vt:filetime>
  </property>
</Properties>
</file>