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6E238E">
      <w:pPr>
        <w:spacing w:line="360" w:lineRule="auto"/>
        <w:rPr>
          <w:rFonts w:ascii="楷体_GB2312" w:hAnsi="楷体_GB2312" w:eastAsia="楷体_GB2312" w:cs="宋体"/>
          <w:sz w:val="28"/>
          <w:szCs w:val="24"/>
        </w:rPr>
      </w:pPr>
      <w:bookmarkStart w:id="0" w:name="_GoBack"/>
      <w:bookmarkEnd w:id="0"/>
      <w:r>
        <w:rPr>
          <w:rFonts w:hint="eastAsia" w:ascii="楷体_GB2312" w:hAnsi="楷体_GB2312" w:eastAsia="楷体_GB2312" w:cs="宋体"/>
          <w:sz w:val="28"/>
          <w:szCs w:val="24"/>
        </w:rPr>
        <w:t xml:space="preserve">             635（法理学、宪法学、诉讼法学）</w:t>
      </w:r>
    </w:p>
    <w:p w14:paraId="1F64664C">
      <w:pPr>
        <w:spacing w:line="360" w:lineRule="auto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3BD95E5D">
      <w:pPr>
        <w:spacing w:line="360" w:lineRule="auto"/>
        <w:rPr>
          <w:rFonts w:hint="eastAsia" w:ascii="楷体_GB2312" w:hAnsi="楷体_GB2312" w:eastAsia="楷体_GB2312" w:cs="宋体"/>
          <w:sz w:val="28"/>
          <w:szCs w:val="24"/>
        </w:rPr>
      </w:pPr>
    </w:p>
    <w:p w14:paraId="2F7A5523">
      <w:pPr>
        <w:spacing w:line="360" w:lineRule="auto"/>
        <w:jc w:val="center"/>
        <w:rPr>
          <w:rFonts w:hint="eastAsia" w:ascii="楷体_GB2312" w:hAnsi="楷体_GB2312" w:eastAsia="楷体_GB2312" w:cs="宋体"/>
          <w:b/>
          <w:bCs/>
          <w:sz w:val="28"/>
          <w:szCs w:val="24"/>
        </w:rPr>
      </w:pPr>
      <w:r>
        <w:rPr>
          <w:rFonts w:hint="eastAsia" w:ascii="楷体_GB2312" w:hAnsi="楷体_GB2312" w:eastAsia="楷体_GB2312" w:cs="宋体"/>
          <w:b/>
          <w:bCs/>
          <w:sz w:val="28"/>
          <w:szCs w:val="24"/>
        </w:rPr>
        <w:t>《法理学》考试大纲（50分）</w:t>
      </w:r>
    </w:p>
    <w:p w14:paraId="75018E0E">
      <w:pPr>
        <w:widowControl/>
        <w:snapToGrid w:val="0"/>
        <w:spacing w:before="240"/>
        <w:ind w:firstLine="562" w:firstLineChars="200"/>
        <w:outlineLvl w:val="0"/>
        <w:rPr>
          <w:rFonts w:hint="eastAsia" w:ascii="楷体_GB2312" w:hAns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hAnsi="楷体_GB2312" w:eastAsia="楷体_GB2312" w:cs="宋体"/>
          <w:b/>
          <w:sz w:val="28"/>
          <w:szCs w:val="28"/>
          <w:u w:val="single"/>
        </w:rPr>
        <w:t>一、</w:t>
      </w:r>
      <w:r>
        <w:rPr>
          <w:rFonts w:hint="eastAsia" w:ascii="楷体_GB2312" w:hAnsi="楷体_GB2312" w:eastAsia="楷体_GB2312"/>
          <w:b/>
          <w:sz w:val="28"/>
          <w:szCs w:val="28"/>
          <w:u w:val="single"/>
        </w:rPr>
        <w:t>涵盖范围及基本内容</w:t>
      </w:r>
    </w:p>
    <w:p w14:paraId="665A6701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（一）法的概念与本质</w:t>
      </w:r>
    </w:p>
    <w:p w14:paraId="5C419D76">
      <w:pPr>
        <w:spacing w:line="360" w:lineRule="auto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 xml:space="preserve">    （二）法的产生、发展与历史类型</w:t>
      </w:r>
    </w:p>
    <w:p w14:paraId="019441F5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（三）法的价值</w:t>
      </w:r>
    </w:p>
    <w:p w14:paraId="6C2FBC9E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（四）法的渊源与效力</w:t>
      </w:r>
    </w:p>
    <w:p w14:paraId="17A5DEFC">
      <w:pPr>
        <w:tabs>
          <w:tab w:val="left" w:pos="5689"/>
        </w:tabs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（五）法律关系</w:t>
      </w:r>
      <w:r>
        <w:rPr>
          <w:rFonts w:ascii="楷体_GB2312" w:hAnsi="楷体_GB2312" w:eastAsia="楷体_GB2312" w:cs="宋体"/>
          <w:sz w:val="28"/>
          <w:szCs w:val="24"/>
        </w:rPr>
        <w:tab/>
      </w:r>
    </w:p>
    <w:p w14:paraId="2CE212D1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（六）法律行为</w:t>
      </w:r>
    </w:p>
    <w:p w14:paraId="328F17A4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（七）法律责任</w:t>
      </w:r>
    </w:p>
    <w:p w14:paraId="760E7387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（八）法律方法</w:t>
      </w:r>
    </w:p>
    <w:p w14:paraId="16BF1B7D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（九）中国社会主义法理学的历史文化基础</w:t>
      </w:r>
    </w:p>
    <w:p w14:paraId="32FE7361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（十）中国社会主义法的产生、本质和作用</w:t>
      </w:r>
    </w:p>
    <w:p w14:paraId="784BE447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（十一）中国社会主义法与民主政治</w:t>
      </w:r>
    </w:p>
    <w:p w14:paraId="74F410FC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（十二）中国社会主义法与经济、科技、文化、社会、生态</w:t>
      </w:r>
    </w:p>
    <w:p w14:paraId="05D3FFC8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（十三）中国社会主义立法和法律体系</w:t>
      </w:r>
    </w:p>
    <w:p w14:paraId="755019A6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（十四）中国社会主义法律实施</w:t>
      </w:r>
    </w:p>
    <w:p w14:paraId="3059B6E9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（十五）全面依法治国，建设法治中国</w:t>
      </w:r>
    </w:p>
    <w:p w14:paraId="4E23A5B2">
      <w:pPr>
        <w:spacing w:line="360" w:lineRule="auto"/>
        <w:ind w:firstLine="562" w:firstLineChars="200"/>
        <w:rPr>
          <w:rFonts w:hint="eastAsia" w:ascii="楷体_GB2312" w:hAnsi="楷体_GB2312" w:eastAsia="楷体_GB2312" w:cs="宋体"/>
          <w:b/>
          <w:sz w:val="28"/>
          <w:szCs w:val="24"/>
        </w:rPr>
      </w:pPr>
      <w:r>
        <w:rPr>
          <w:rFonts w:hint="eastAsia" w:ascii="楷体_GB2312" w:hAnsi="楷体_GB2312" w:eastAsia="楷体_GB2312" w:cs="宋体"/>
          <w:b/>
          <w:sz w:val="28"/>
          <w:szCs w:val="24"/>
        </w:rPr>
        <w:t>二、主要参考书目</w:t>
      </w:r>
    </w:p>
    <w:p w14:paraId="61B9ACB1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>1.《法理学》编写组编：《法理学》（第二版），人民出版社2020年版。</w:t>
      </w:r>
    </w:p>
    <w:p w14:paraId="2CEEF988">
      <w:pPr>
        <w:spacing w:line="360" w:lineRule="auto"/>
        <w:ind w:firstLine="560" w:firstLineChars="200"/>
        <w:rPr>
          <w:rFonts w:ascii="楷体_GB2312" w:hAnsi="楷体_GB2312" w:eastAsia="楷体_GB2312" w:cs="宋体"/>
          <w:sz w:val="28"/>
          <w:szCs w:val="24"/>
        </w:rPr>
      </w:pPr>
      <w:r>
        <w:rPr>
          <w:rFonts w:hint="eastAsia" w:ascii="楷体_GB2312" w:hAnsi="楷体_GB2312" w:eastAsia="楷体_GB2312" w:cs="宋体"/>
          <w:sz w:val="28"/>
          <w:szCs w:val="24"/>
        </w:rPr>
        <w:t xml:space="preserve">2. 张文显主编：《法理学》（第五版），高等教育出版社2018年版。                   </w:t>
      </w:r>
    </w:p>
    <w:p w14:paraId="33EE8813">
      <w:pPr>
        <w:spacing w:line="360" w:lineRule="auto"/>
        <w:ind w:firstLine="560" w:firstLineChars="200"/>
        <w:rPr>
          <w:rFonts w:hint="eastAsia" w:ascii="楷体_GB2312" w:hAnsi="楷体_GB2312" w:eastAsia="楷体_GB2312" w:cs="宋体"/>
          <w:sz w:val="28"/>
          <w:szCs w:val="24"/>
        </w:rPr>
      </w:pPr>
    </w:p>
    <w:p w14:paraId="374F9B43"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宪法学考试大纲（50分）</w:t>
      </w:r>
    </w:p>
    <w:p w14:paraId="5FCDEEC4">
      <w:pPr>
        <w:ind w:firstLine="562" w:firstLineChars="200"/>
        <w:rPr>
          <w:rFonts w:hint="eastAsia" w:ascii="楷体_GB2312" w:hAnsi="楷体_GB2312" w:eastAsia="楷体_GB2312" w:cs="宋体"/>
          <w:b/>
          <w:sz w:val="28"/>
          <w:szCs w:val="28"/>
        </w:rPr>
      </w:pPr>
      <w:r>
        <w:rPr>
          <w:rFonts w:hint="eastAsia" w:ascii="楷体_GB2312" w:hAnsi="楷体_GB2312" w:eastAsia="楷体_GB2312" w:cs="宋体"/>
          <w:b/>
          <w:sz w:val="28"/>
          <w:szCs w:val="28"/>
        </w:rPr>
        <w:t>一、涵盖范围及基本内容</w:t>
      </w:r>
    </w:p>
    <w:p w14:paraId="799C50DD">
      <w:pPr>
        <w:ind w:firstLine="560" w:firstLineChars="200"/>
        <w:rPr>
          <w:rFonts w:hint="eastAsia" w:ascii="楷体_GB2312" w:hAnsi="楷体_GB2312" w:eastAsia="楷体_GB2312" w:cs="宋体"/>
          <w:sz w:val="28"/>
          <w:szCs w:val="28"/>
        </w:rPr>
      </w:pPr>
      <w:r>
        <w:rPr>
          <w:rFonts w:hint="eastAsia" w:ascii="楷体_GB2312" w:hAnsi="楷体_GB2312" w:eastAsia="楷体_GB2312" w:cs="宋体"/>
          <w:sz w:val="28"/>
          <w:szCs w:val="28"/>
        </w:rPr>
        <w:t xml:space="preserve">（一）宪法基本理论（宪法基本概念、宪法的特征、宪法产生与发展、宪法基本原则、宪法渊源、宪法规范、宪法关系、宪法的作用与价值、宪法观念与宪法文化、有中国特色社会主义宪法制度，宪法创制、宪法修改、宪法实施、宪法监督等）    </w:t>
      </w:r>
    </w:p>
    <w:p w14:paraId="18141227">
      <w:pPr>
        <w:ind w:firstLine="560" w:firstLineChars="200"/>
        <w:rPr>
          <w:rFonts w:hint="eastAsia" w:ascii="楷体_GB2312" w:hAnsi="楷体_GB2312" w:eastAsia="楷体_GB2312" w:cs="宋体"/>
          <w:sz w:val="28"/>
          <w:szCs w:val="28"/>
        </w:rPr>
      </w:pPr>
      <w:r>
        <w:rPr>
          <w:rFonts w:hint="eastAsia" w:ascii="楷体_GB2312" w:hAnsi="楷体_GB2312" w:eastAsia="楷体_GB2312" w:cs="宋体"/>
          <w:sz w:val="28"/>
          <w:szCs w:val="28"/>
        </w:rPr>
        <w:t xml:space="preserve">（二）基本制度（根本政治制度、基本政治制度、基本经济制度、基本文化制度）   </w:t>
      </w:r>
    </w:p>
    <w:p w14:paraId="21D02533">
      <w:pPr>
        <w:ind w:firstLine="560" w:firstLineChars="200"/>
        <w:rPr>
          <w:rFonts w:hint="eastAsia" w:ascii="楷体_GB2312" w:hAnsi="楷体_GB2312" w:eastAsia="楷体_GB2312" w:cs="宋体"/>
          <w:sz w:val="28"/>
          <w:szCs w:val="28"/>
        </w:rPr>
      </w:pPr>
      <w:r>
        <w:rPr>
          <w:rFonts w:hint="eastAsia" w:ascii="楷体_GB2312" w:hAnsi="楷体_GB2312" w:eastAsia="楷体_GB2312" w:cs="宋体"/>
          <w:sz w:val="28"/>
          <w:szCs w:val="28"/>
        </w:rPr>
        <w:t>（三）基本权利（基本权利理论、基本权利类型、基本权利功能、基本权利效力）</w:t>
      </w:r>
    </w:p>
    <w:p w14:paraId="3B5E85F7">
      <w:p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 w:cs="宋体"/>
          <w:sz w:val="28"/>
          <w:szCs w:val="28"/>
        </w:rPr>
        <w:t xml:space="preserve"> （四）国家结构与组织形式（政党与选举、立法机构、国家主席、行政机构、中央军事委员会、民族自治地方的自治机关、监察机构、司法机构、中央与地方关系、民族区域自治制度、特别行政区制度）     </w:t>
      </w:r>
      <w:r>
        <w:rPr>
          <w:rFonts w:hint="eastAsia" w:ascii="楷体_GB2312" w:hAnsi="楷体_GB2312" w:eastAsia="楷体_GB2312" w:cs="宋体"/>
          <w:b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sz w:val="28"/>
          <w:szCs w:val="28"/>
        </w:rPr>
        <w:t xml:space="preserve">           </w:t>
      </w:r>
    </w:p>
    <w:p w14:paraId="7F96B866">
      <w:pPr>
        <w:widowControl/>
        <w:snapToGrid w:val="0"/>
        <w:spacing w:before="240"/>
        <w:ind w:firstLine="562" w:firstLineChars="200"/>
        <w:outlineLvl w:val="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 w:cs="宋体"/>
          <w:b/>
          <w:sz w:val="28"/>
        </w:rPr>
        <w:t>二、主要参考教材</w:t>
      </w:r>
      <w:r>
        <w:rPr>
          <w:rFonts w:hint="eastAsia" w:ascii="楷体_GB2312" w:hAnsi="楷体_GB2312" w:eastAsia="楷体_GB2312"/>
          <w:sz w:val="28"/>
          <w:szCs w:val="28"/>
        </w:rPr>
        <w:t xml:space="preserve">                                                    </w:t>
      </w:r>
    </w:p>
    <w:p w14:paraId="52FA0412">
      <w:p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1.《宪法学》编写组：《宪法学》(第二版)，高等教育出版社、人民出版社2020年版（马克思主义理论研究和建设工程重点教材）;</w:t>
      </w:r>
    </w:p>
    <w:p w14:paraId="59998BE6">
      <w:p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2. 周叶中主编：《宪法》（第五版），高等教育出版社2020年版。</w:t>
      </w:r>
    </w:p>
    <w:p w14:paraId="58990E73">
      <w:pPr>
        <w:widowControl/>
        <w:snapToGrid w:val="0"/>
        <w:spacing w:line="360" w:lineRule="auto"/>
        <w:jc w:val="center"/>
        <w:rPr>
          <w:rFonts w:hint="eastAsia" w:ascii="楷体_GB2312" w:hAnsi="楷体_GB2312" w:eastAsia="楷体_GB2312" w:cs="宋体"/>
          <w:sz w:val="28"/>
        </w:rPr>
      </w:pPr>
    </w:p>
    <w:p w14:paraId="73C447D0">
      <w:pPr>
        <w:widowControl/>
        <w:snapToGrid w:val="0"/>
        <w:spacing w:line="360" w:lineRule="auto"/>
        <w:jc w:val="center"/>
        <w:rPr>
          <w:rFonts w:hint="eastAsia" w:ascii="楷体_GB2312" w:hAnsi="楷体_GB2312" w:eastAsia="楷体_GB2312" w:cs="宋体"/>
          <w:b/>
          <w:sz w:val="28"/>
        </w:rPr>
      </w:pPr>
    </w:p>
    <w:p w14:paraId="427B73E4">
      <w:pPr>
        <w:widowControl/>
        <w:snapToGrid w:val="0"/>
        <w:spacing w:line="360" w:lineRule="auto"/>
        <w:jc w:val="center"/>
        <w:rPr>
          <w:rFonts w:hint="eastAsia" w:ascii="楷体_GB2312" w:hAnsi="楷体_GB2312" w:eastAsia="楷体_GB2312" w:cs="宋体"/>
          <w:b/>
          <w:sz w:val="28"/>
        </w:rPr>
      </w:pPr>
      <w:r>
        <w:rPr>
          <w:rFonts w:hint="eastAsia" w:ascii="楷体_GB2312" w:hAnsi="楷体_GB2312" w:eastAsia="楷体_GB2312" w:cs="宋体"/>
          <w:b/>
          <w:sz w:val="28"/>
        </w:rPr>
        <w:t>《</w:t>
      </w:r>
      <w:r>
        <w:rPr>
          <w:rFonts w:hint="eastAsia" w:ascii="楷体_GB2312" w:hAnsi="楷体_GB2312" w:eastAsia="楷体_GB2312"/>
          <w:b/>
          <w:sz w:val="28"/>
          <w:szCs w:val="36"/>
        </w:rPr>
        <w:t>诉讼法学》科目考试大纲（50分）</w:t>
      </w:r>
    </w:p>
    <w:p w14:paraId="4D07D6FA">
      <w:pPr>
        <w:widowControl/>
        <w:snapToGrid w:val="0"/>
        <w:spacing w:before="240"/>
        <w:ind w:firstLine="562" w:firstLineChars="200"/>
        <w:outlineLvl w:val="0"/>
        <w:rPr>
          <w:rFonts w:hint="eastAsia" w:ascii="楷体_GB2312" w:hAnsi="楷体_GB2312" w:eastAsia="楷体_GB2312"/>
          <w:b/>
          <w:sz w:val="28"/>
          <w:szCs w:val="28"/>
        </w:rPr>
      </w:pPr>
      <w:r>
        <w:rPr>
          <w:rFonts w:hint="eastAsia" w:ascii="楷体_GB2312" w:hAnsi="楷体_GB2312" w:eastAsia="楷体_GB2312" w:cs="宋体"/>
          <w:b/>
          <w:sz w:val="28"/>
          <w:szCs w:val="28"/>
        </w:rPr>
        <w:t>一、</w:t>
      </w:r>
      <w:r>
        <w:rPr>
          <w:rFonts w:hint="eastAsia" w:ascii="楷体_GB2312" w:hAnsi="楷体_GB2312" w:eastAsia="楷体_GB2312"/>
          <w:b/>
          <w:sz w:val="28"/>
          <w:szCs w:val="28"/>
        </w:rPr>
        <w:t>涵盖范围及基本内容</w:t>
      </w:r>
    </w:p>
    <w:p w14:paraId="2497064C">
      <w:pPr>
        <w:widowControl/>
        <w:snapToGrid w:val="0"/>
        <w:spacing w:before="240"/>
        <w:outlineLvl w:val="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 xml:space="preserve">   （一）刑事诉讼法学基础理论</w:t>
      </w:r>
    </w:p>
    <w:p w14:paraId="628497F1">
      <w:pPr>
        <w:widowControl/>
        <w:snapToGrid w:val="0"/>
        <w:spacing w:before="240"/>
        <w:outlineLvl w:val="0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 xml:space="preserve">    刑事诉讼法的概念；刑事诉讼价值、结构等基本理论范畴；刑事诉讼法的历史演变。</w:t>
      </w:r>
    </w:p>
    <w:p w14:paraId="257F14BC">
      <w:pPr>
        <w:widowControl/>
        <w:snapToGrid w:val="0"/>
        <w:spacing w:before="240"/>
        <w:ind w:firstLine="411" w:firstLineChars="147"/>
        <w:outlineLvl w:val="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（二）总论</w:t>
      </w:r>
    </w:p>
    <w:p w14:paraId="2E528B59">
      <w:pPr>
        <w:widowControl/>
        <w:snapToGrid w:val="0"/>
        <w:spacing w:before="240"/>
        <w:outlineLvl w:val="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bCs/>
          <w:sz w:val="28"/>
          <w:szCs w:val="28"/>
        </w:rPr>
        <w:t xml:space="preserve">  刑事诉讼法的基本原则；管辖；回避；辩护；强制措施；附带民事诉讼</w:t>
      </w:r>
    </w:p>
    <w:p w14:paraId="71D77952">
      <w:pPr>
        <w:widowControl/>
        <w:snapToGrid w:val="0"/>
        <w:spacing w:before="240"/>
        <w:ind w:firstLine="408" w:firstLineChars="146"/>
        <w:outlineLvl w:val="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（三）程序论</w:t>
      </w:r>
    </w:p>
    <w:p w14:paraId="46CA8D15">
      <w:pPr>
        <w:widowControl/>
        <w:snapToGrid w:val="0"/>
        <w:spacing w:before="240"/>
        <w:ind w:firstLine="411" w:firstLineChars="147"/>
        <w:outlineLvl w:val="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立案；侦查；起诉；第一审程序;第二审程序；死刑复核程序；刑事执行程序；审判监督程序；刑事特别程序</w:t>
      </w:r>
    </w:p>
    <w:p w14:paraId="23E326CA">
      <w:pPr>
        <w:widowControl/>
        <w:snapToGrid w:val="0"/>
        <w:spacing w:before="240"/>
        <w:ind w:firstLine="411" w:firstLineChars="147"/>
        <w:outlineLvl w:val="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（四）证据论</w:t>
      </w:r>
    </w:p>
    <w:p w14:paraId="034DF001">
      <w:pPr>
        <w:widowControl/>
        <w:snapToGrid w:val="0"/>
        <w:spacing w:before="240" w:line="360" w:lineRule="auto"/>
        <w:ind w:firstLine="560" w:firstLineChars="200"/>
        <w:outlineLvl w:val="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证据的概念和特征；证据的种类和分类；诉讼证明责任和证明标准；证据规则（证据能力规则和证明力规则）</w:t>
      </w:r>
    </w:p>
    <w:p w14:paraId="7B7F070E">
      <w:pPr>
        <w:widowControl/>
        <w:snapToGrid w:val="0"/>
        <w:spacing w:before="240" w:line="360" w:lineRule="auto"/>
        <w:ind w:firstLine="321" w:firstLineChars="100"/>
        <w:outlineLvl w:val="0"/>
        <w:rPr>
          <w:rFonts w:hint="eastAsia" w:ascii="楷体_GB2312" w:hAnsi="宋体" w:eastAsia="楷体_GB2312" w:cs="宋体"/>
          <w:b/>
          <w:sz w:val="32"/>
        </w:rPr>
      </w:pPr>
      <w:r>
        <w:rPr>
          <w:rFonts w:hint="eastAsia" w:ascii="楷体_GB2312" w:hAnsi="宋体" w:eastAsia="楷体_GB2312" w:cs="宋体"/>
          <w:b/>
          <w:sz w:val="32"/>
        </w:rPr>
        <w:t>二、主要参考教材</w:t>
      </w:r>
    </w:p>
    <w:p w14:paraId="7DC103D7">
      <w:pPr>
        <w:widowControl/>
        <w:snapToGrid w:val="0"/>
        <w:spacing w:before="240" w:line="360" w:lineRule="auto"/>
        <w:ind w:firstLine="280" w:firstLineChars="100"/>
        <w:outlineLvl w:val="0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1.《刑事诉讼法学》编写组：《刑事诉讼法学》（第四版）（马工程重点教材），高等教育出版社2022年版；</w:t>
      </w:r>
    </w:p>
    <w:p w14:paraId="5AA05991">
      <w:pPr>
        <w:widowControl/>
        <w:snapToGrid w:val="0"/>
        <w:spacing w:before="240"/>
        <w:ind w:firstLine="280" w:firstLineChars="100"/>
        <w:outlineLvl w:val="0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sz w:val="28"/>
          <w:szCs w:val="28"/>
        </w:rPr>
        <w:t>2. 陈光中主编：《证据法学》（第五版），法律出版社2023年版。</w:t>
      </w:r>
    </w:p>
    <w:p w14:paraId="6B0FF243">
      <w:pPr>
        <w:widowControl/>
        <w:snapToGrid w:val="0"/>
        <w:spacing w:before="240"/>
        <w:ind w:firstLine="240" w:firstLineChars="100"/>
        <w:outlineLvl w:val="0"/>
        <w:rPr>
          <w:rFonts w:hint="eastAsia" w:ascii="楷体_GB2312" w:hAnsi="宋体" w:eastAsia="楷体_GB2312" w:cs="宋体"/>
          <w:kern w:val="0"/>
          <w:sz w:val="24"/>
          <w:szCs w:val="24"/>
        </w:rPr>
      </w:pPr>
    </w:p>
    <w:p w14:paraId="7A3E35FD">
      <w:pPr>
        <w:widowControl/>
        <w:snapToGrid w:val="0"/>
        <w:spacing w:line="360" w:lineRule="auto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573FF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 w14:paraId="484DB9E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6B0A0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BB518C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RjNGM5NGRmNGUyMDUxNzgzZGI5MjM4ZWFmZGEifQ=="/>
  </w:docVars>
  <w:rsids>
    <w:rsidRoot w:val="00172A27"/>
    <w:rsid w:val="000A1F7C"/>
    <w:rsid w:val="000B50DF"/>
    <w:rsid w:val="000B7448"/>
    <w:rsid w:val="000F746C"/>
    <w:rsid w:val="001268CB"/>
    <w:rsid w:val="001443B3"/>
    <w:rsid w:val="0016545B"/>
    <w:rsid w:val="0017660B"/>
    <w:rsid w:val="001B1FE8"/>
    <w:rsid w:val="001B51D9"/>
    <w:rsid w:val="001C3D48"/>
    <w:rsid w:val="001C7B00"/>
    <w:rsid w:val="001E04B4"/>
    <w:rsid w:val="002062AA"/>
    <w:rsid w:val="00222E3F"/>
    <w:rsid w:val="00247C77"/>
    <w:rsid w:val="00280FD3"/>
    <w:rsid w:val="00296899"/>
    <w:rsid w:val="00310A17"/>
    <w:rsid w:val="0035297D"/>
    <w:rsid w:val="003668D9"/>
    <w:rsid w:val="0039119F"/>
    <w:rsid w:val="003B041C"/>
    <w:rsid w:val="003C36AE"/>
    <w:rsid w:val="003E4734"/>
    <w:rsid w:val="003F2209"/>
    <w:rsid w:val="003F767F"/>
    <w:rsid w:val="004229A7"/>
    <w:rsid w:val="004458AE"/>
    <w:rsid w:val="004611F6"/>
    <w:rsid w:val="00462111"/>
    <w:rsid w:val="00465A43"/>
    <w:rsid w:val="0048300F"/>
    <w:rsid w:val="004B154C"/>
    <w:rsid w:val="004C61C6"/>
    <w:rsid w:val="004E1502"/>
    <w:rsid w:val="004E7C5F"/>
    <w:rsid w:val="00532E0D"/>
    <w:rsid w:val="00560053"/>
    <w:rsid w:val="00576D81"/>
    <w:rsid w:val="005775DA"/>
    <w:rsid w:val="00582526"/>
    <w:rsid w:val="005C117A"/>
    <w:rsid w:val="005F28D5"/>
    <w:rsid w:val="005F5AB4"/>
    <w:rsid w:val="0060181E"/>
    <w:rsid w:val="00616F4A"/>
    <w:rsid w:val="00623ED8"/>
    <w:rsid w:val="00661285"/>
    <w:rsid w:val="00665D86"/>
    <w:rsid w:val="00683810"/>
    <w:rsid w:val="00684D4D"/>
    <w:rsid w:val="00685A18"/>
    <w:rsid w:val="006913A7"/>
    <w:rsid w:val="006B596F"/>
    <w:rsid w:val="00700903"/>
    <w:rsid w:val="00792EA0"/>
    <w:rsid w:val="007B642D"/>
    <w:rsid w:val="007E0D1F"/>
    <w:rsid w:val="007E21E0"/>
    <w:rsid w:val="007F6F23"/>
    <w:rsid w:val="00814B78"/>
    <w:rsid w:val="008165BB"/>
    <w:rsid w:val="00847AAA"/>
    <w:rsid w:val="008536A6"/>
    <w:rsid w:val="00857101"/>
    <w:rsid w:val="00885B26"/>
    <w:rsid w:val="008B5DC0"/>
    <w:rsid w:val="008C02EB"/>
    <w:rsid w:val="008C24AD"/>
    <w:rsid w:val="009005FA"/>
    <w:rsid w:val="00923AA5"/>
    <w:rsid w:val="00950A72"/>
    <w:rsid w:val="00950BE8"/>
    <w:rsid w:val="009A0123"/>
    <w:rsid w:val="009B606B"/>
    <w:rsid w:val="009B688C"/>
    <w:rsid w:val="009C5B3E"/>
    <w:rsid w:val="009F504F"/>
    <w:rsid w:val="00A3263B"/>
    <w:rsid w:val="00A43F2F"/>
    <w:rsid w:val="00A542E2"/>
    <w:rsid w:val="00A61847"/>
    <w:rsid w:val="00A7206C"/>
    <w:rsid w:val="00A80FDD"/>
    <w:rsid w:val="00A93DB7"/>
    <w:rsid w:val="00AA4EF3"/>
    <w:rsid w:val="00AB701E"/>
    <w:rsid w:val="00B26357"/>
    <w:rsid w:val="00BE424F"/>
    <w:rsid w:val="00BE70E3"/>
    <w:rsid w:val="00C0267E"/>
    <w:rsid w:val="00C21BB5"/>
    <w:rsid w:val="00D072C5"/>
    <w:rsid w:val="00D51055"/>
    <w:rsid w:val="00D551C6"/>
    <w:rsid w:val="00D57ECE"/>
    <w:rsid w:val="00D81319"/>
    <w:rsid w:val="00DE1A18"/>
    <w:rsid w:val="00E3011E"/>
    <w:rsid w:val="00E72CD2"/>
    <w:rsid w:val="00E80AD4"/>
    <w:rsid w:val="00E83930"/>
    <w:rsid w:val="00E84E78"/>
    <w:rsid w:val="00EB09ED"/>
    <w:rsid w:val="00EC5FAA"/>
    <w:rsid w:val="00EC7F88"/>
    <w:rsid w:val="00ED7993"/>
    <w:rsid w:val="00F1201B"/>
    <w:rsid w:val="00F257F3"/>
    <w:rsid w:val="00F41E54"/>
    <w:rsid w:val="00F85DA5"/>
    <w:rsid w:val="00FD3639"/>
    <w:rsid w:val="00FF3C07"/>
    <w:rsid w:val="00FF403E"/>
    <w:rsid w:val="01C57BD1"/>
    <w:rsid w:val="04395427"/>
    <w:rsid w:val="0D1E3B7E"/>
    <w:rsid w:val="0F2C754E"/>
    <w:rsid w:val="10EE0A78"/>
    <w:rsid w:val="1ACA16EE"/>
    <w:rsid w:val="1BBB7535"/>
    <w:rsid w:val="226A3510"/>
    <w:rsid w:val="3C5E2679"/>
    <w:rsid w:val="421A7E04"/>
    <w:rsid w:val="43190C54"/>
    <w:rsid w:val="5E282801"/>
    <w:rsid w:val="618E0003"/>
    <w:rsid w:val="6BA5028D"/>
    <w:rsid w:val="749421F5"/>
    <w:rsid w:val="765C3FA9"/>
    <w:rsid w:val="7B5D0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uiPriority w:val="99"/>
  </w:style>
  <w:style w:type="character" w:customStyle="1" w:styleId="9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vertesyuan</cp:lastModifiedBy>
  <dcterms:modified xsi:type="dcterms:W3CDTF">2024-09-23T03:57:14Z</dcterms:modified>
  <dc:title>《法理学》（50分）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A8E49DCBA4474999B055F63F45CAD06A_13</vt:lpwstr>
  </property>
</Properties>
</file>