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12A" w:rsidRDefault="00EF5E82">
      <w:pPr>
        <w:widowControl/>
        <w:snapToGrid w:val="0"/>
        <w:spacing w:line="360" w:lineRule="auto"/>
        <w:jc w:val="center"/>
        <w:rPr>
          <w:rFonts w:ascii="楷体_GB2312" w:eastAsia="楷体_GB2312" w:hAnsi="楷体_GB2312" w:cs="宋体" w:hint="eastAsia"/>
          <w:sz w:val="28"/>
          <w:szCs w:val="24"/>
        </w:rPr>
      </w:pPr>
      <w:r>
        <w:rPr>
          <w:rFonts w:ascii="楷体_GB2312" w:eastAsia="楷体_GB2312" w:hAnsi="楷体_GB2312" w:cs="宋体" w:hint="eastAsia"/>
          <w:sz w:val="28"/>
          <w:szCs w:val="24"/>
        </w:rPr>
        <w:t>809（民法学、经济法学、刑法学）</w:t>
      </w:r>
    </w:p>
    <w:p w:rsidR="00A33142" w:rsidRDefault="00A33142">
      <w:pPr>
        <w:widowControl/>
        <w:snapToGrid w:val="0"/>
        <w:spacing w:line="360" w:lineRule="auto"/>
        <w:jc w:val="center"/>
        <w:rPr>
          <w:rFonts w:ascii="黑体" w:eastAsia="黑体" w:hAnsi="黑体" w:hint="eastAsia"/>
          <w:color w:val="FF0000"/>
          <w:szCs w:val="21"/>
        </w:rPr>
      </w:pPr>
      <w:r w:rsidRPr="006A0F55">
        <w:rPr>
          <w:rFonts w:ascii="黑体" w:eastAsia="黑体" w:hAnsi="黑体" w:hint="eastAsia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:rsidR="002D58BB" w:rsidRDefault="002D58BB">
      <w:pPr>
        <w:widowControl/>
        <w:snapToGrid w:val="0"/>
        <w:spacing w:line="360" w:lineRule="auto"/>
        <w:jc w:val="center"/>
        <w:rPr>
          <w:rFonts w:ascii="楷体_GB2312" w:eastAsia="楷体_GB2312" w:hAnsi="楷体_GB2312" w:cs="宋体" w:hint="eastAsia"/>
          <w:sz w:val="28"/>
          <w:szCs w:val="24"/>
        </w:rPr>
      </w:pPr>
    </w:p>
    <w:p w:rsidR="00E028E8" w:rsidRDefault="00E028E8" w:rsidP="00E028E8">
      <w:pPr>
        <w:widowControl/>
        <w:snapToGrid w:val="0"/>
        <w:spacing w:line="360" w:lineRule="auto"/>
        <w:jc w:val="center"/>
        <w:textAlignment w:val="baseline"/>
        <w:rPr>
          <w:rFonts w:ascii="楷体_GB2312" w:eastAsia="楷体_GB2312" w:hAnsi="宋体" w:cs="宋体" w:hint="eastAsia"/>
          <w:b/>
          <w:sz w:val="36"/>
        </w:rPr>
      </w:pPr>
      <w:r>
        <w:rPr>
          <w:rFonts w:ascii="楷体_GB2312" w:eastAsia="楷体_GB2312" w:hAnsi="宋体" w:cs="宋体" w:hint="eastAsia"/>
          <w:b/>
          <w:sz w:val="36"/>
        </w:rPr>
        <w:t>《民法学》科目考试大纲（50分）</w:t>
      </w:r>
    </w:p>
    <w:p w:rsidR="00E028E8" w:rsidRDefault="00E028E8" w:rsidP="00E028E8">
      <w:pPr>
        <w:widowControl/>
        <w:snapToGrid w:val="0"/>
        <w:spacing w:before="156" w:line="360" w:lineRule="auto"/>
        <w:ind w:firstLineChars="200" w:firstLine="640"/>
        <w:textAlignment w:val="baseline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一、</w:t>
      </w:r>
      <w:r>
        <w:rPr>
          <w:rFonts w:ascii="楷体_GB2312" w:eastAsia="楷体_GB2312" w:hint="eastAsia"/>
          <w:b/>
          <w:bCs/>
          <w:sz w:val="32"/>
          <w:szCs w:val="32"/>
        </w:rPr>
        <w:t>涵盖范围及基本内容</w:t>
      </w:r>
    </w:p>
    <w:p w:rsidR="00E028E8" w:rsidRDefault="00E028E8" w:rsidP="00E028E8">
      <w:pPr>
        <w:widowControl/>
        <w:snapToGrid w:val="0"/>
        <w:spacing w:before="120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 xml:space="preserve">  </w:t>
      </w:r>
      <w:r>
        <w:rPr>
          <w:rFonts w:ascii="楷体_GB2312" w:eastAsia="楷体_GB2312" w:hint="eastAsia"/>
          <w:bCs/>
          <w:sz w:val="28"/>
          <w:szCs w:val="28"/>
        </w:rPr>
        <w:t xml:space="preserve"> （一）民法总论</w:t>
      </w:r>
    </w:p>
    <w:p w:rsidR="00E028E8" w:rsidRDefault="00E028E8" w:rsidP="00E028E8">
      <w:pPr>
        <w:widowControl/>
        <w:snapToGrid w:val="0"/>
        <w:spacing w:before="240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 民法基础原理；民法基本原则；民事法律关系及其三要素；民事主体制度；民事权利；民事权利客体；民事法律行为；代理；民事责任；诉讼时效</w:t>
      </w:r>
    </w:p>
    <w:p w:rsidR="00E028E8" w:rsidRDefault="00E028E8" w:rsidP="00E028E8">
      <w:pPr>
        <w:widowControl/>
        <w:snapToGrid w:val="0"/>
        <w:spacing w:before="240"/>
        <w:ind w:firstLineChars="147" w:firstLine="412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（二）物权</w:t>
      </w:r>
    </w:p>
    <w:p w:rsidR="00E028E8" w:rsidRDefault="00E028E8" w:rsidP="00E028E8">
      <w:pPr>
        <w:widowControl/>
        <w:snapToGrid w:val="0"/>
        <w:spacing w:before="120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 物权及物权法基础原理；物权法基本原则；物权变动；所有权；用益物权；担保物权；占有</w:t>
      </w:r>
    </w:p>
    <w:p w:rsidR="00E028E8" w:rsidRDefault="00E028E8" w:rsidP="00E028E8">
      <w:pPr>
        <w:widowControl/>
        <w:snapToGrid w:val="0"/>
        <w:spacing w:before="240"/>
        <w:ind w:firstLineChars="147" w:firstLine="412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（三）合同</w:t>
      </w:r>
    </w:p>
    <w:p w:rsidR="00E028E8" w:rsidRDefault="00E028E8" w:rsidP="00E028E8">
      <w:pPr>
        <w:widowControl/>
        <w:snapToGrid w:val="0"/>
        <w:spacing w:before="120"/>
        <w:ind w:firstLineChars="200" w:firstLine="560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合同及合同法基础原理；合同的订立、成立与生效；合同的效力；合同的履行；合同的保全；合同的变更和转让；合同的权利义务终止；违约责任；十九类典型合同；准合同。</w:t>
      </w:r>
    </w:p>
    <w:p w:rsidR="00E028E8" w:rsidRDefault="00E028E8" w:rsidP="00E028E8">
      <w:pPr>
        <w:widowControl/>
        <w:snapToGrid w:val="0"/>
        <w:spacing w:before="240"/>
        <w:ind w:firstLineChars="147" w:firstLine="412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（四）人格权</w:t>
      </w:r>
    </w:p>
    <w:p w:rsidR="00E028E8" w:rsidRDefault="00E028E8" w:rsidP="00E028E8">
      <w:pPr>
        <w:widowControl/>
        <w:snapToGrid w:val="0"/>
        <w:spacing w:before="120"/>
        <w:ind w:firstLineChars="200" w:firstLine="560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人格权基础原理；各类具体人格权的内涵及保护。</w:t>
      </w:r>
    </w:p>
    <w:p w:rsidR="00E028E8" w:rsidRDefault="00E028E8" w:rsidP="00E028E8">
      <w:pPr>
        <w:widowControl/>
        <w:snapToGrid w:val="0"/>
        <w:spacing w:before="240"/>
        <w:ind w:firstLineChars="146" w:firstLine="409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（五）婚姻家庭与继承</w:t>
      </w:r>
    </w:p>
    <w:p w:rsidR="00E028E8" w:rsidRDefault="00E028E8" w:rsidP="00E028E8">
      <w:pPr>
        <w:widowControl/>
        <w:snapToGrid w:val="0"/>
        <w:spacing w:before="240"/>
        <w:ind w:firstLineChars="146" w:firstLine="409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婚姻家庭及继承基础法理；结婚；家庭关系；离婚；收养；法定继承；遗嘱继承和遗赠；遗产的处理。</w:t>
      </w:r>
    </w:p>
    <w:p w:rsidR="00E028E8" w:rsidRDefault="00E028E8" w:rsidP="00E028E8">
      <w:pPr>
        <w:widowControl/>
        <w:snapToGrid w:val="0"/>
        <w:spacing w:before="240"/>
        <w:ind w:firstLineChars="146" w:firstLine="409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lastRenderedPageBreak/>
        <w:t>（六）侵权责任</w:t>
      </w:r>
    </w:p>
    <w:p w:rsidR="00E028E8" w:rsidRDefault="00E028E8" w:rsidP="00E028E8">
      <w:pPr>
        <w:widowControl/>
        <w:snapToGrid w:val="0"/>
        <w:spacing w:before="120"/>
        <w:ind w:firstLineChars="200" w:firstLine="560"/>
        <w:textAlignment w:val="baseline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侵权责任法基础原理；侵权责任的归责原则；侵权责任的成立要件；数人侵权责任；侵权责任的承担与免除；损害赔偿；责任主体的特殊规定；产品责任；机动车交通事故责任；医疗损害责任；环境污染和生态破坏责任；高度危险责任；饲养动物损害责任；建筑物和物件损害责任</w:t>
      </w:r>
    </w:p>
    <w:p w:rsidR="00E028E8" w:rsidRDefault="00E028E8" w:rsidP="00E028E8">
      <w:pPr>
        <w:widowControl/>
        <w:snapToGrid w:val="0"/>
        <w:spacing w:before="240" w:line="360" w:lineRule="auto"/>
        <w:ind w:firstLineChars="150" w:firstLine="480"/>
        <w:textAlignment w:val="baseline"/>
        <w:rPr>
          <w:rFonts w:ascii="楷体_GB2312" w:eastAsia="楷体_GB2312" w:hAnsi="宋体" w:cs="宋体" w:hint="eastAsia"/>
          <w:b/>
          <w:sz w:val="32"/>
        </w:rPr>
      </w:pPr>
      <w:r>
        <w:rPr>
          <w:rFonts w:ascii="楷体_GB2312" w:eastAsia="楷体_GB2312" w:hAnsi="宋体" w:cs="宋体" w:hint="eastAsia"/>
          <w:b/>
          <w:sz w:val="32"/>
        </w:rPr>
        <w:t>二、主要参考教材</w:t>
      </w:r>
    </w:p>
    <w:p w:rsidR="005A684D" w:rsidRPr="005A684D" w:rsidRDefault="005A684D" w:rsidP="005A684D">
      <w:pPr>
        <w:widowControl/>
        <w:snapToGrid w:val="0"/>
        <w:ind w:firstLineChars="147" w:firstLine="412"/>
        <w:textAlignment w:val="baseline"/>
        <w:rPr>
          <w:rFonts w:ascii="楷体_GB2312" w:eastAsia="楷体_GB2312" w:hAnsi="宋体" w:cs="宋体" w:hint="eastAsia"/>
          <w:sz w:val="28"/>
          <w:szCs w:val="28"/>
        </w:rPr>
      </w:pPr>
      <w:r w:rsidRPr="005A684D">
        <w:rPr>
          <w:rFonts w:ascii="楷体_GB2312" w:eastAsia="楷体_GB2312" w:hAnsi="宋体" w:cs="宋体" w:hint="eastAsia"/>
          <w:sz w:val="28"/>
          <w:szCs w:val="28"/>
        </w:rPr>
        <w:t>1.</w:t>
      </w:r>
      <w:r w:rsidRPr="005A684D">
        <w:rPr>
          <w:rFonts w:hint="eastAsia"/>
        </w:rPr>
        <w:t xml:space="preserve"> </w:t>
      </w:r>
      <w:r w:rsidRPr="005A684D">
        <w:rPr>
          <w:rFonts w:ascii="楷体_GB2312" w:eastAsia="楷体_GB2312" w:hAnsi="宋体" w:cs="宋体" w:hint="eastAsia"/>
          <w:sz w:val="28"/>
          <w:szCs w:val="28"/>
        </w:rPr>
        <w:t>《民法学》编写组：</w:t>
      </w:r>
      <w:r w:rsidRPr="005A684D">
        <w:rPr>
          <w:rFonts w:ascii="楷体_GB2312" w:eastAsia="楷体_GB2312" w:hint="eastAsia"/>
          <w:bCs/>
          <w:sz w:val="28"/>
          <w:szCs w:val="28"/>
        </w:rPr>
        <w:t>《民法学（第二版）上、下册》（马克思主义理论研究和建设工程重点教材），高等教育出版社2022年版</w:t>
      </w:r>
      <w:r w:rsidRPr="005A684D">
        <w:rPr>
          <w:rFonts w:ascii="楷体_GB2312" w:eastAsia="楷体_GB2312" w:hAnsi="宋体" w:cs="宋体" w:hint="eastAsia"/>
          <w:sz w:val="28"/>
          <w:szCs w:val="28"/>
        </w:rPr>
        <w:t>；</w:t>
      </w:r>
    </w:p>
    <w:p w:rsidR="005A684D" w:rsidRPr="005A684D" w:rsidRDefault="005A684D" w:rsidP="005A684D">
      <w:pPr>
        <w:widowControl/>
        <w:snapToGrid w:val="0"/>
        <w:ind w:firstLineChars="147" w:firstLine="412"/>
        <w:textAlignment w:val="baseline"/>
        <w:rPr>
          <w:rFonts w:ascii="楷体_GB2312" w:eastAsia="楷体_GB2312"/>
          <w:bCs/>
          <w:sz w:val="28"/>
          <w:szCs w:val="28"/>
        </w:rPr>
      </w:pPr>
      <w:r w:rsidRPr="005A684D">
        <w:rPr>
          <w:rFonts w:ascii="楷体" w:eastAsia="楷体" w:hAnsi="楷体" w:cs="宋体" w:hint="eastAsia"/>
          <w:sz w:val="28"/>
          <w:szCs w:val="28"/>
        </w:rPr>
        <w:t>2.</w:t>
      </w:r>
      <w:r w:rsidRPr="005A684D">
        <w:rPr>
          <w:rFonts w:ascii="楷体_GB2312" w:eastAsia="楷体_GB2312" w:hAnsi="宋体" w:cs="宋体" w:hint="eastAsia"/>
          <w:sz w:val="28"/>
          <w:szCs w:val="28"/>
        </w:rPr>
        <w:t>王利明主编：《民法（第十版）（上下册）》（新编21世纪法学系列教材 ），中国人民大学出版社2023年版</w:t>
      </w:r>
      <w:r w:rsidRPr="005A684D">
        <w:rPr>
          <w:rFonts w:ascii="楷体_GB2312" w:eastAsia="楷体_GB2312" w:hint="eastAsia"/>
          <w:bCs/>
          <w:sz w:val="28"/>
          <w:szCs w:val="28"/>
        </w:rPr>
        <w:t>。</w:t>
      </w:r>
    </w:p>
    <w:p w:rsidR="0029412A" w:rsidRPr="005A684D" w:rsidRDefault="0029412A">
      <w:pPr>
        <w:spacing w:line="360" w:lineRule="auto"/>
        <w:rPr>
          <w:rFonts w:ascii="楷体_GB2312" w:eastAsia="楷体_GB2312" w:hAnsi="宋体" w:hint="eastAsia"/>
          <w:sz w:val="28"/>
          <w:szCs w:val="28"/>
        </w:rPr>
      </w:pPr>
    </w:p>
    <w:p w:rsidR="0029412A" w:rsidRDefault="00EF5E82">
      <w:pPr>
        <w:widowControl/>
        <w:snapToGrid w:val="0"/>
        <w:spacing w:line="360" w:lineRule="auto"/>
        <w:jc w:val="center"/>
        <w:rPr>
          <w:rFonts w:ascii="楷体_GB2312" w:eastAsia="楷体_GB2312" w:hAnsi="宋体" w:cs="宋体" w:hint="eastAsia"/>
          <w:b/>
          <w:sz w:val="36"/>
        </w:rPr>
      </w:pPr>
      <w:r>
        <w:rPr>
          <w:rFonts w:ascii="楷体_GB2312" w:eastAsia="楷体_GB2312" w:hAnsi="宋体" w:cs="宋体" w:hint="eastAsia"/>
          <w:b/>
          <w:sz w:val="36"/>
        </w:rPr>
        <w:t>《</w:t>
      </w:r>
      <w:r>
        <w:rPr>
          <w:rFonts w:ascii="楷体_GB2312" w:eastAsia="楷体_GB2312" w:hint="eastAsia"/>
          <w:b/>
          <w:sz w:val="36"/>
          <w:szCs w:val="36"/>
        </w:rPr>
        <w:t>刑法学》（50分）科目考试大纲</w:t>
      </w:r>
    </w:p>
    <w:p w:rsidR="0029412A" w:rsidRDefault="00EF5E82">
      <w:pPr>
        <w:widowControl/>
        <w:snapToGrid w:val="0"/>
        <w:spacing w:before="240"/>
        <w:ind w:firstLineChars="200" w:firstLine="560"/>
        <w:outlineLvl w:val="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一、</w:t>
      </w:r>
      <w:r>
        <w:rPr>
          <w:rFonts w:ascii="楷体_GB2312" w:eastAsia="楷体_GB2312" w:hint="eastAsia"/>
          <w:b/>
          <w:bCs/>
          <w:sz w:val="28"/>
          <w:szCs w:val="28"/>
        </w:rPr>
        <w:t>涵盖范围及基本内容</w:t>
      </w:r>
    </w:p>
    <w:p w:rsidR="0029412A" w:rsidRDefault="00EF5E82">
      <w:pPr>
        <w:widowControl/>
        <w:snapToGrid w:val="0"/>
        <w:spacing w:before="24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 xml:space="preserve">  </w:t>
      </w:r>
      <w:r>
        <w:rPr>
          <w:rFonts w:ascii="楷体_GB2312" w:eastAsia="楷体_GB2312" w:hint="eastAsia"/>
          <w:bCs/>
          <w:sz w:val="28"/>
          <w:szCs w:val="28"/>
        </w:rPr>
        <w:t xml:space="preserve"> （一）刑法基础理论</w:t>
      </w:r>
    </w:p>
    <w:p w:rsidR="0029412A" w:rsidRDefault="00EF5E82">
      <w:pPr>
        <w:widowControl/>
        <w:snapToGrid w:val="0"/>
        <w:spacing w:before="24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 刑法概念；刑法的基本原则；刑法的效力；刑法解释技巧和理由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（二）犯罪论</w:t>
      </w:r>
    </w:p>
    <w:p w:rsidR="0029412A" w:rsidRDefault="00EF5E82">
      <w:pPr>
        <w:widowControl/>
        <w:snapToGrid w:val="0"/>
        <w:spacing w:before="24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犯罪的概说；犯罪构成要件理论；违法构成要件；</w:t>
      </w:r>
      <w:proofErr w:type="gramStart"/>
      <w:r>
        <w:rPr>
          <w:rFonts w:ascii="楷体_GB2312" w:eastAsia="楷体_GB2312" w:hint="eastAsia"/>
          <w:bCs/>
          <w:sz w:val="28"/>
          <w:szCs w:val="28"/>
        </w:rPr>
        <w:t>违法阻却事由</w:t>
      </w:r>
      <w:proofErr w:type="gramEnd"/>
      <w:r>
        <w:rPr>
          <w:rFonts w:ascii="楷体_GB2312" w:eastAsia="楷体_GB2312" w:hint="eastAsia"/>
          <w:bCs/>
          <w:sz w:val="28"/>
          <w:szCs w:val="28"/>
        </w:rPr>
        <w:t>；责任要件；</w:t>
      </w:r>
      <w:proofErr w:type="gramStart"/>
      <w:r>
        <w:rPr>
          <w:rFonts w:ascii="楷体_GB2312" w:eastAsia="楷体_GB2312" w:hint="eastAsia"/>
          <w:bCs/>
          <w:sz w:val="28"/>
          <w:szCs w:val="28"/>
        </w:rPr>
        <w:t>责任阻却事由</w:t>
      </w:r>
      <w:proofErr w:type="gramEnd"/>
      <w:r>
        <w:rPr>
          <w:rFonts w:ascii="楷体_GB2312" w:eastAsia="楷体_GB2312" w:hint="eastAsia"/>
          <w:bCs/>
          <w:sz w:val="28"/>
          <w:szCs w:val="28"/>
        </w:rPr>
        <w:t>；犯罪的特殊形态；共同犯罪；罪数</w:t>
      </w:r>
    </w:p>
    <w:p w:rsidR="0029412A" w:rsidRDefault="00EF5E82">
      <w:pPr>
        <w:widowControl/>
        <w:snapToGrid w:val="0"/>
        <w:spacing w:before="240"/>
        <w:ind w:firstLineChars="146" w:firstLine="409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（三）刑罚论</w:t>
      </w:r>
    </w:p>
    <w:p w:rsidR="0029412A" w:rsidRDefault="00EF5E82">
      <w:pPr>
        <w:widowControl/>
        <w:snapToGrid w:val="0"/>
        <w:spacing w:before="240"/>
        <w:ind w:firstLineChars="146" w:firstLine="409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刑罚观念；刑罚体系；刑罚裁量；刑罚的执行；非刑罚的法律后果；法律后果的消灭   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lastRenderedPageBreak/>
        <w:t>（四）刑法分论</w:t>
      </w:r>
    </w:p>
    <w:p w:rsidR="0029412A" w:rsidRDefault="00EF5E82">
      <w:pPr>
        <w:widowControl/>
        <w:snapToGrid w:val="0"/>
        <w:spacing w:before="240"/>
        <w:ind w:firstLineChars="147" w:firstLine="412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危害国家安全罪；危害公共安全罪；侵犯公民人身权利罪；破坏社会主义市场经济秩序罪；侵犯财产罪；妨害社会管理秩序罪；贪污贿赂罪；渎职罪</w:t>
      </w:r>
    </w:p>
    <w:p w:rsidR="0029412A" w:rsidRDefault="00EF5E82">
      <w:pPr>
        <w:widowControl/>
        <w:snapToGrid w:val="0"/>
        <w:spacing w:before="240" w:line="360" w:lineRule="auto"/>
        <w:ind w:firstLineChars="200" w:firstLine="640"/>
        <w:outlineLvl w:val="0"/>
        <w:rPr>
          <w:rFonts w:ascii="楷体_GB2312" w:eastAsia="楷体_GB2312" w:hAnsi="宋体" w:cs="宋体" w:hint="eastAsia"/>
          <w:b/>
          <w:sz w:val="32"/>
        </w:rPr>
      </w:pPr>
      <w:r>
        <w:rPr>
          <w:rFonts w:ascii="楷体_GB2312" w:eastAsia="楷体_GB2312" w:hAnsi="宋体" w:cs="宋体" w:hint="eastAsia"/>
          <w:b/>
          <w:sz w:val="32"/>
        </w:rPr>
        <w:t>二、主要参考教材</w:t>
      </w:r>
    </w:p>
    <w:p w:rsidR="0029412A" w:rsidRDefault="00EF5E82">
      <w:pPr>
        <w:widowControl/>
        <w:snapToGrid w:val="0"/>
        <w:spacing w:before="240"/>
        <w:ind w:firstLineChars="200" w:firstLine="560"/>
        <w:outlineLvl w:val="0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1.</w:t>
      </w:r>
      <w:r>
        <w:rPr>
          <w:rFonts w:ascii="楷体_GB2312" w:eastAsia="楷体_GB2312" w:hint="eastAsia"/>
          <w:bCs/>
          <w:sz w:val="28"/>
          <w:szCs w:val="28"/>
        </w:rPr>
        <w:t>《刑法学》编写组：《刑法学》，高等教育出版社20</w:t>
      </w:r>
      <w:r w:rsidR="00F101B2">
        <w:rPr>
          <w:rFonts w:ascii="楷体_GB2312" w:eastAsia="楷体_GB2312" w:hint="eastAsia"/>
          <w:bCs/>
          <w:sz w:val="28"/>
          <w:szCs w:val="28"/>
        </w:rPr>
        <w:t>23</w:t>
      </w:r>
      <w:r>
        <w:rPr>
          <w:rFonts w:ascii="楷体_GB2312" w:eastAsia="楷体_GB2312" w:hint="eastAsia"/>
          <w:bCs/>
          <w:sz w:val="28"/>
          <w:szCs w:val="28"/>
        </w:rPr>
        <w:t>年版</w:t>
      </w:r>
      <w:r>
        <w:rPr>
          <w:rFonts w:ascii="楷体_GB2312" w:eastAsia="楷体_GB2312" w:hAnsi="宋体" w:cs="宋体" w:hint="eastAsia"/>
          <w:sz w:val="28"/>
          <w:szCs w:val="28"/>
        </w:rPr>
        <w:t>；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2.张明楷：《刑法学》（上、下册）（第</w:t>
      </w:r>
      <w:r w:rsidR="007324BC">
        <w:rPr>
          <w:rFonts w:ascii="楷体_GB2312" w:eastAsia="楷体_GB2312" w:hAnsi="宋体" w:cs="宋体" w:hint="eastAsia"/>
          <w:sz w:val="28"/>
          <w:szCs w:val="28"/>
        </w:rPr>
        <w:t>六</w:t>
      </w:r>
      <w:r>
        <w:rPr>
          <w:rFonts w:ascii="楷体_GB2312" w:eastAsia="楷体_GB2312" w:hAnsi="宋体" w:cs="宋体" w:hint="eastAsia"/>
          <w:sz w:val="28"/>
          <w:szCs w:val="28"/>
        </w:rPr>
        <w:t>版），法律出版社20</w:t>
      </w:r>
      <w:r w:rsidR="007324BC">
        <w:rPr>
          <w:rFonts w:ascii="楷体_GB2312" w:eastAsia="楷体_GB2312" w:hAnsi="宋体" w:cs="宋体"/>
          <w:sz w:val="28"/>
          <w:szCs w:val="28"/>
        </w:rPr>
        <w:t>21</w:t>
      </w:r>
      <w:r>
        <w:rPr>
          <w:rFonts w:ascii="楷体_GB2312" w:eastAsia="楷体_GB2312" w:hAnsi="宋体" w:cs="宋体" w:hint="eastAsia"/>
          <w:sz w:val="28"/>
          <w:szCs w:val="28"/>
        </w:rPr>
        <w:t>年版</w:t>
      </w:r>
      <w:r>
        <w:rPr>
          <w:rFonts w:ascii="楷体_GB2312" w:eastAsia="楷体_GB2312" w:hint="eastAsia"/>
          <w:bCs/>
          <w:sz w:val="28"/>
          <w:szCs w:val="28"/>
        </w:rPr>
        <w:t>。</w:t>
      </w:r>
    </w:p>
    <w:p w:rsidR="0029412A" w:rsidRDefault="0029412A" w:rsidP="008864BB">
      <w:pPr>
        <w:widowControl/>
        <w:snapToGrid w:val="0"/>
        <w:spacing w:before="240"/>
        <w:ind w:firstLineChars="147" w:firstLine="412"/>
        <w:jc w:val="center"/>
        <w:outlineLvl w:val="0"/>
        <w:rPr>
          <w:rFonts w:ascii="楷体_GB2312" w:eastAsia="楷体_GB2312" w:hAnsi="宋体" w:cs="宋体" w:hint="eastAsia"/>
          <w:sz w:val="28"/>
          <w:szCs w:val="28"/>
        </w:rPr>
      </w:pPr>
    </w:p>
    <w:p w:rsidR="0029412A" w:rsidRDefault="0029412A">
      <w:pPr>
        <w:widowControl/>
        <w:snapToGrid w:val="0"/>
        <w:spacing w:line="360" w:lineRule="auto"/>
        <w:jc w:val="center"/>
        <w:rPr>
          <w:rFonts w:ascii="楷体_GB2312" w:eastAsia="楷体_GB2312" w:hAnsi="宋体" w:cs="宋体" w:hint="eastAsia"/>
          <w:b/>
          <w:sz w:val="36"/>
        </w:rPr>
      </w:pPr>
    </w:p>
    <w:p w:rsidR="0029412A" w:rsidRDefault="00EF5E82">
      <w:pPr>
        <w:widowControl/>
        <w:snapToGrid w:val="0"/>
        <w:spacing w:line="360" w:lineRule="auto"/>
        <w:jc w:val="center"/>
        <w:rPr>
          <w:rFonts w:ascii="楷体_GB2312" w:eastAsia="楷体_GB2312" w:hAnsi="宋体" w:cs="宋体" w:hint="eastAsia"/>
          <w:b/>
          <w:sz w:val="36"/>
        </w:rPr>
      </w:pPr>
      <w:r>
        <w:rPr>
          <w:rFonts w:ascii="楷体_GB2312" w:eastAsia="楷体_GB2312" w:hAnsi="宋体" w:cs="宋体" w:hint="eastAsia"/>
          <w:b/>
          <w:sz w:val="36"/>
        </w:rPr>
        <w:t>《</w:t>
      </w:r>
      <w:r>
        <w:rPr>
          <w:rFonts w:ascii="楷体_GB2312" w:eastAsia="楷体_GB2312" w:hint="eastAsia"/>
          <w:b/>
          <w:sz w:val="36"/>
          <w:szCs w:val="36"/>
        </w:rPr>
        <w:t>经济法学》科目考试大纲（50分）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一、涵盖范围及基本内容</w:t>
      </w:r>
    </w:p>
    <w:p w:rsidR="0029412A" w:rsidRDefault="00EF5E82">
      <w:pPr>
        <w:widowControl/>
        <w:snapToGrid w:val="0"/>
        <w:spacing w:line="360" w:lineRule="auto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（一）经济法总论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经济法学的研究对象；</w:t>
      </w:r>
      <w:r>
        <w:rPr>
          <w:rFonts w:ascii="楷体_GB2312" w:eastAsia="楷体_GB2312"/>
          <w:bCs/>
          <w:sz w:val="28"/>
          <w:szCs w:val="28"/>
        </w:rPr>
        <w:t>经济法学的产生</w:t>
      </w:r>
      <w:r>
        <w:rPr>
          <w:rFonts w:ascii="楷体_GB2312" w:eastAsia="楷体_GB2312" w:hint="eastAsia"/>
          <w:bCs/>
          <w:sz w:val="28"/>
          <w:szCs w:val="28"/>
        </w:rPr>
        <w:t>和发展；</w:t>
      </w:r>
      <w:r>
        <w:rPr>
          <w:rFonts w:ascii="楷体_GB2312" w:eastAsia="楷体_GB2312"/>
          <w:bCs/>
          <w:sz w:val="28"/>
          <w:szCs w:val="28"/>
        </w:rPr>
        <w:t>经济法的概念</w:t>
      </w:r>
      <w:r>
        <w:rPr>
          <w:rFonts w:ascii="楷体_GB2312" w:eastAsia="楷体_GB2312" w:hint="eastAsia"/>
          <w:bCs/>
          <w:sz w:val="28"/>
          <w:szCs w:val="28"/>
        </w:rPr>
        <w:t>；</w:t>
      </w:r>
      <w:r>
        <w:rPr>
          <w:rFonts w:ascii="楷体_GB2312" w:eastAsia="楷体_GB2312"/>
          <w:bCs/>
          <w:sz w:val="28"/>
          <w:szCs w:val="28"/>
        </w:rPr>
        <w:t>经济法的体系</w:t>
      </w:r>
      <w:r>
        <w:rPr>
          <w:rFonts w:ascii="楷体_GB2312" w:eastAsia="楷体_GB2312" w:hint="eastAsia"/>
          <w:bCs/>
          <w:sz w:val="28"/>
          <w:szCs w:val="28"/>
        </w:rPr>
        <w:t>；</w:t>
      </w:r>
      <w:r>
        <w:rPr>
          <w:rFonts w:ascii="楷体_GB2312" w:eastAsia="楷体_GB2312"/>
          <w:bCs/>
          <w:sz w:val="28"/>
          <w:szCs w:val="28"/>
        </w:rPr>
        <w:t>经济法的</w:t>
      </w:r>
      <w:r>
        <w:rPr>
          <w:rFonts w:ascii="楷体_GB2312" w:eastAsia="楷体_GB2312" w:hint="eastAsia"/>
          <w:bCs/>
          <w:sz w:val="28"/>
          <w:szCs w:val="28"/>
        </w:rPr>
        <w:t>基本</w:t>
      </w:r>
      <w:r>
        <w:rPr>
          <w:rFonts w:ascii="楷体_GB2312" w:eastAsia="楷体_GB2312"/>
          <w:bCs/>
          <w:sz w:val="28"/>
          <w:szCs w:val="28"/>
        </w:rPr>
        <w:t>原则</w:t>
      </w:r>
      <w:r>
        <w:rPr>
          <w:rFonts w:ascii="楷体_GB2312" w:eastAsia="楷体_GB2312" w:hint="eastAsia"/>
          <w:bCs/>
          <w:sz w:val="28"/>
          <w:szCs w:val="28"/>
        </w:rPr>
        <w:t>和宗旨；</w:t>
      </w:r>
      <w:r>
        <w:rPr>
          <w:rFonts w:ascii="楷体_GB2312" w:eastAsia="楷体_GB2312"/>
          <w:bCs/>
          <w:sz w:val="28"/>
          <w:szCs w:val="28"/>
        </w:rPr>
        <w:t>经济法主体</w:t>
      </w:r>
      <w:r>
        <w:rPr>
          <w:rFonts w:ascii="楷体_GB2312" w:eastAsia="楷体_GB2312" w:hint="eastAsia"/>
          <w:bCs/>
          <w:sz w:val="28"/>
          <w:szCs w:val="28"/>
        </w:rPr>
        <w:t>；经济法</w:t>
      </w:r>
      <w:r>
        <w:rPr>
          <w:rFonts w:ascii="楷体_GB2312" w:eastAsia="楷体_GB2312"/>
          <w:bCs/>
          <w:sz w:val="28"/>
          <w:szCs w:val="28"/>
        </w:rPr>
        <w:t>行为</w:t>
      </w:r>
      <w:r>
        <w:rPr>
          <w:rFonts w:ascii="楷体_GB2312" w:eastAsia="楷体_GB2312" w:hint="eastAsia"/>
          <w:bCs/>
          <w:sz w:val="28"/>
          <w:szCs w:val="28"/>
        </w:rPr>
        <w:t>；经济法的价值取向；经济法的基本功能；经济法律关系。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（二）宏观调控法律制度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宏观调控法概述；金融调控法律制度；价格调控法律制度；财税调控法律制度；计划调控法律制度；金融监管法律制度。  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lastRenderedPageBreak/>
        <w:t>（三）市场规制法律制度</w:t>
      </w:r>
    </w:p>
    <w:p w:rsidR="0029412A" w:rsidRDefault="00EF5E82">
      <w:pPr>
        <w:widowControl/>
        <w:snapToGrid w:val="0"/>
        <w:spacing w:line="360" w:lineRule="auto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 xml:space="preserve">    市场规制法概论 ；产品的定义；产品质量；产品质量监督管理制度；产品质量责任；消费者；消费者权利；经营者义务；不正当竞争行为及其认定和责任；反垄断法；广告法。</w:t>
      </w:r>
    </w:p>
    <w:p w:rsidR="0029412A" w:rsidRDefault="00EF5E82">
      <w:pPr>
        <w:widowControl/>
        <w:snapToGrid w:val="0"/>
        <w:spacing w:line="360" w:lineRule="auto"/>
        <w:ind w:firstLineChars="150" w:firstLine="420"/>
        <w:outlineLvl w:val="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二、参考教材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（一）《经济法学》编写组：《经济法学》，高等教育出版社</w:t>
      </w:r>
      <w:r w:rsidR="00754567">
        <w:rPr>
          <w:rFonts w:ascii="楷体_GB2312" w:eastAsia="楷体_GB2312" w:hint="eastAsia"/>
          <w:bCs/>
          <w:sz w:val="28"/>
          <w:szCs w:val="28"/>
        </w:rPr>
        <w:t>20</w:t>
      </w:r>
      <w:r w:rsidR="00863EBF">
        <w:rPr>
          <w:rFonts w:ascii="楷体_GB2312" w:eastAsia="楷体_GB2312"/>
          <w:bCs/>
          <w:sz w:val="28"/>
          <w:szCs w:val="28"/>
        </w:rPr>
        <w:t>22</w:t>
      </w:r>
      <w:r w:rsidR="00754567">
        <w:rPr>
          <w:rFonts w:ascii="楷体_GB2312" w:eastAsia="楷体_GB2312" w:hint="eastAsia"/>
          <w:bCs/>
          <w:sz w:val="28"/>
          <w:szCs w:val="28"/>
        </w:rPr>
        <w:t>年第</w:t>
      </w:r>
      <w:r w:rsidR="00863EBF">
        <w:rPr>
          <w:rFonts w:ascii="楷体_GB2312" w:eastAsia="楷体_GB2312" w:hint="eastAsia"/>
          <w:bCs/>
          <w:sz w:val="28"/>
          <w:szCs w:val="28"/>
        </w:rPr>
        <w:t>三</w:t>
      </w:r>
      <w:r>
        <w:rPr>
          <w:rFonts w:ascii="楷体_GB2312" w:eastAsia="楷体_GB2312" w:hint="eastAsia"/>
          <w:bCs/>
          <w:sz w:val="28"/>
          <w:szCs w:val="28"/>
        </w:rPr>
        <w:t>版；</w:t>
      </w:r>
    </w:p>
    <w:p w:rsidR="0029412A" w:rsidRDefault="00EF5E82">
      <w:pPr>
        <w:widowControl/>
        <w:snapToGrid w:val="0"/>
        <w:spacing w:line="360" w:lineRule="auto"/>
        <w:ind w:firstLineChars="200" w:firstLine="560"/>
        <w:outlineLv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（二）李昌麒主编：《经济法学》，法律出版社2016年第三版。</w:t>
      </w:r>
    </w:p>
    <w:p w:rsidR="0029412A" w:rsidRDefault="0029412A"/>
    <w:sectPr w:rsidR="0029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6966" w:rsidRDefault="005A6966" w:rsidP="00615753">
      <w:r>
        <w:separator/>
      </w:r>
    </w:p>
  </w:endnote>
  <w:endnote w:type="continuationSeparator" w:id="0">
    <w:p w:rsidR="005A6966" w:rsidRDefault="005A6966" w:rsidP="0061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6966" w:rsidRDefault="005A6966" w:rsidP="00615753">
      <w:r>
        <w:separator/>
      </w:r>
    </w:p>
  </w:footnote>
  <w:footnote w:type="continuationSeparator" w:id="0">
    <w:p w:rsidR="005A6966" w:rsidRDefault="005A6966" w:rsidP="0061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3E2CE6"/>
    <w:rsid w:val="000B2FBE"/>
    <w:rsid w:val="0016349C"/>
    <w:rsid w:val="00265589"/>
    <w:rsid w:val="0029412A"/>
    <w:rsid w:val="002957A6"/>
    <w:rsid w:val="002D58BB"/>
    <w:rsid w:val="005A684D"/>
    <w:rsid w:val="005A6966"/>
    <w:rsid w:val="005B3C8B"/>
    <w:rsid w:val="00615753"/>
    <w:rsid w:val="00707C1C"/>
    <w:rsid w:val="007324BC"/>
    <w:rsid w:val="00754567"/>
    <w:rsid w:val="007C440E"/>
    <w:rsid w:val="00863EBF"/>
    <w:rsid w:val="008864BB"/>
    <w:rsid w:val="008B4B7A"/>
    <w:rsid w:val="009159BE"/>
    <w:rsid w:val="00A33142"/>
    <w:rsid w:val="00B65DD1"/>
    <w:rsid w:val="00E028E8"/>
    <w:rsid w:val="00E9443F"/>
    <w:rsid w:val="00EF5E82"/>
    <w:rsid w:val="00F101B2"/>
    <w:rsid w:val="00FA7604"/>
    <w:rsid w:val="07C85D4A"/>
    <w:rsid w:val="0C3E2CE6"/>
    <w:rsid w:val="124D33AA"/>
    <w:rsid w:val="1CB9612A"/>
    <w:rsid w:val="2A800131"/>
    <w:rsid w:val="2A9C43AF"/>
    <w:rsid w:val="30CF1823"/>
    <w:rsid w:val="3CE54A65"/>
    <w:rsid w:val="49F76D0A"/>
    <w:rsid w:val="59C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F960E"/>
  <w15:docId w15:val="{E4F75F8D-82FD-47E1-8B5C-76ABEA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57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15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57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2020-08-31T01:39:00Z</cp:lastPrinted>
  <dcterms:created xsi:type="dcterms:W3CDTF">2017-09-01T02:00:00Z</dcterms:created>
  <dcterms:modified xsi:type="dcterms:W3CDTF">2024-07-22T07:46:00Z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