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BC" w:rsidRDefault="00847254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>
        <w:rPr>
          <w:rFonts w:ascii="黑体" w:eastAsia="黑体" w:hAnsi="黑体"/>
          <w:b/>
          <w:sz w:val="32"/>
          <w:szCs w:val="28"/>
        </w:rPr>
        <w:t>3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:rsidR="00C468BC" w:rsidRDefault="00847254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C468BC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b/>
                <w:sz w:val="24"/>
              </w:rPr>
              <w:t>907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hAnsi="宋体" w:hint="eastAsia"/>
                <w:b/>
                <w:sz w:val="30"/>
                <w:szCs w:val="30"/>
              </w:rPr>
              <w:t>混凝土结构设计原理</w:t>
            </w:r>
          </w:p>
        </w:tc>
      </w:tr>
      <w:tr w:rsidR="00C468BC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系统掌握混凝土结构的基本知识、基本概念和基本理论；</w:t>
            </w:r>
          </w:p>
          <w:p w:rsidR="00C468BC" w:rsidRDefault="00847254"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能够应用混凝土结构基础知识、基本理论和基本方法分析、解决工程领域的实际问题。</w:t>
            </w:r>
          </w:p>
        </w:tc>
      </w:tr>
      <w:tr w:rsidR="00C468BC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C468BC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填空题：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选择题：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绘图题：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小题，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计算题：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C468BC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BC" w:rsidRDefault="00847254">
            <w:pPr>
              <w:spacing w:beforeLines="50" w:before="156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绪论：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混凝土结构的一般概念及特点。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钢筋与混凝土共同工作的基础。</w:t>
            </w:r>
          </w:p>
          <w:p w:rsidR="00C468BC" w:rsidRDefault="00847254">
            <w:pPr>
              <w:numPr>
                <w:ilvl w:val="0"/>
                <w:numId w:val="1"/>
              </w:numPr>
              <w:spacing w:beforeLines="50" w:before="156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混凝土结构材料的性能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钢筋应力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应变关系及特征值，弹性模量，屈服强度和极限强度及其相应的应变值；钢筋的塑性性能指标，常用钢筋品种及其应用范围。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混凝土的受压强度及其受压应力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应变曲线，混凝土的破坏机理，影响混凝土强度的因素，约束混凝土的概念，弹性模量与变形模量的关系；混凝土的复合受力强度；混凝土的收缩和徐变的概念以及主要影响因素，及其对混凝土结构构件的影响。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钢筋与混凝土的粘结作用及主要影响因素；钢筋锚固长度；钢筋搭接长度；保证粘结锚固措施。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（二）混凝土结构设计方法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结构功能，极限状态的概念。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结构的可靠度概念，可靠指标与失效概率的关系；目标可靠指标荷载和材料强度取值方法。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两种状态设计方法表达式。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（三）轴心受力构件正截面承载力计算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1. </w:t>
            </w:r>
            <w:r>
              <w:rPr>
                <w:rFonts w:hint="eastAsia"/>
                <w:szCs w:val="21"/>
              </w:rPr>
              <w:t>轴心受拉构件正截面承载力计算。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轴心受压构件正截面承载力计算。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配有螺旋箍螺旋箍筋的轴心受压构件的受力分析及破坏特征。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（四）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受弯构件正截面承载力计算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配筋率对受弯构件破坏特征的影响。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受弯构件正截面承载力计算假定；适筋受弯构件在各个阶段的受力特点。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受压区混凝土应力的计算图形；界限相对受压区高度。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单筋矩形截面、双筋矩形截面、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形截面受弯构件正截面受弯承载力计算公式、适用条件及其意义。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单筋矩形截面、双筋矩形截面、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形截面受弯构件正截面设计及承载力校核方法。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（五）受弯构件斜截面承载力计算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斜截面破坏的主要形态，剪跨比、配箍率的概念，影响斜截面抗剪承载力的主要因素。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无腹筋梁和有腹筋梁的斜截面受剪承载力的计算公式及适用条件，防止斜压破坏和斜拉破坏的措施。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受弯承载力图（材料图）的作法，弯起钢筋的弯起位置和纵向受力钢筋的截断位置的确定。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（六）受扭构件承载力计算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平衡扭转、协调扭转概念。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适筋破坏、少筋破坏、超筋破坏和部分超筋破坏。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3.T</w:t>
            </w:r>
            <w:r>
              <w:rPr>
                <w:rFonts w:hint="eastAsia"/>
                <w:szCs w:val="21"/>
              </w:rPr>
              <w:t>形和工字形截面弯剪扭构件承载力计算；截面划分、计算原理；配筋原理；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（七）偏心受力构件承载力计算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偏心受压构件正截面破坏特征；大小偏心受压破坏特点；两类偏心受压破坏的界限。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偏心受压构件的二阶效应及计算方法。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两类偏心受压构件正截面承载力的计算方法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偏心受力构件斜截面受剪承载力计算。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偏心受拉构件正截面承载力计算。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（八）钢筋混凝土构件的裂缝、变形和耐久性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结构功能要求：安全性；适用性；耐久性；正常使用极限状态设计方法。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裂缝的控制等级；各级抗裂验算方法；最大裂缝宽度的计算方法；平均裂缝宽度；平均裂缝间距；裂缝截面钢筋应力；裂缝间钢筋应变不均匀系数Ψ的计算；影响最大裂缝宽度的因素。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受弯构件刚度的计算；最小刚度原则；受弯构件挠度的计算。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耐久性定义；影响耐久性因素；耐久性的构造措施和施工要求。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（九）预应力混凝土构件设计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预应力混凝土的工作原理；预应力混凝土的分</w:t>
            </w:r>
            <w:r>
              <w:rPr>
                <w:rFonts w:hint="eastAsia"/>
                <w:szCs w:val="21"/>
              </w:rPr>
              <w:t>类；预应力混凝土的材料对钢筋、混凝土的基本要求及选用；预应力混凝土的特点。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张拉控制应力σ</w:t>
            </w:r>
            <w:r>
              <w:rPr>
                <w:rFonts w:hint="eastAsia"/>
                <w:szCs w:val="21"/>
              </w:rPr>
              <w:t>con</w:t>
            </w:r>
            <w:r>
              <w:rPr>
                <w:rFonts w:hint="eastAsia"/>
                <w:szCs w:val="21"/>
              </w:rPr>
              <w:t>定义及影响因素；六种预应力损失基本概念，减少各项预应力损失的方法，预应力损失的组合。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预应力混凝土轴心受拉构件的应力分析，各阶段钢筋及混凝土的应力计算方法；先、后张法计算公式比较。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预应力混凝土轴心受拉构件使用阶段正截面承载力计算。</w:t>
            </w:r>
          </w:p>
          <w:p w:rsidR="00C468BC" w:rsidRDefault="00847254">
            <w:pPr>
              <w:spacing w:beforeLines="50" w:before="156"/>
              <w:ind w:firstLineChars="215" w:firstLine="4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预应力混凝土受弯构件各阶段应力分析；使用阶段计算正截面承载力计算；斜截面承载力计算；正截面裂缝控制验算；斜截面裂缝控制验算；预应力混凝土受弯构件使用阶段的变形验算。</w:t>
            </w:r>
          </w:p>
          <w:p w:rsidR="00C468BC" w:rsidRDefault="00847254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（十）当前混凝土结构领域的热点和前沿知识。</w:t>
            </w:r>
          </w:p>
          <w:p w:rsidR="00C468BC" w:rsidRDefault="00C468BC">
            <w:pPr>
              <w:spacing w:beforeLines="50" w:before="156"/>
              <w:rPr>
                <w:b/>
                <w:bCs/>
                <w:szCs w:val="21"/>
              </w:rPr>
            </w:pPr>
          </w:p>
          <w:p w:rsidR="00C468BC" w:rsidRDefault="0084725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参考文献：《混凝土结构设计原理》（第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版）；主编：沈蒲生；高等教育出版社</w:t>
            </w:r>
          </w:p>
          <w:p w:rsidR="00C468BC" w:rsidRDefault="00C468BC">
            <w:pPr>
              <w:spacing w:beforeLines="50" w:before="156"/>
              <w:rPr>
                <w:b/>
                <w:bCs/>
                <w:szCs w:val="21"/>
              </w:rPr>
            </w:pPr>
          </w:p>
        </w:tc>
      </w:tr>
      <w:tr w:rsidR="00C468BC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BC" w:rsidRDefault="0084725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:rsidR="00C468BC" w:rsidRDefault="00847254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考生需使用计算器</w:t>
            </w:r>
          </w:p>
          <w:p w:rsidR="00C468BC" w:rsidRDefault="00C468BC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C468BC" w:rsidRDefault="00C468BC">
      <w:pPr>
        <w:rPr>
          <w:b/>
          <w:szCs w:val="21"/>
        </w:rPr>
      </w:pPr>
    </w:p>
    <w:sectPr w:rsidR="00C468BC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54" w:rsidRDefault="00847254" w:rsidP="00847254">
      <w:r>
        <w:separator/>
      </w:r>
    </w:p>
  </w:endnote>
  <w:endnote w:type="continuationSeparator" w:id="0">
    <w:p w:rsidR="00847254" w:rsidRDefault="00847254" w:rsidP="0084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54" w:rsidRDefault="00847254" w:rsidP="00847254">
      <w:r>
        <w:separator/>
      </w:r>
    </w:p>
  </w:footnote>
  <w:footnote w:type="continuationSeparator" w:id="0">
    <w:p w:rsidR="00847254" w:rsidRDefault="00847254" w:rsidP="0084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F069D"/>
    <w:multiLevelType w:val="singleLevel"/>
    <w:tmpl w:val="5AFF06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YmFhZjVmOWI5YTg2MjRlNjRiMjEzZjkxNmEyYjIifQ=="/>
  </w:docVars>
  <w:rsids>
    <w:rsidRoot w:val="00491A94"/>
    <w:rsid w:val="00003085"/>
    <w:rsid w:val="001B276F"/>
    <w:rsid w:val="00491A94"/>
    <w:rsid w:val="0065639F"/>
    <w:rsid w:val="006945D4"/>
    <w:rsid w:val="006C038B"/>
    <w:rsid w:val="00734FA7"/>
    <w:rsid w:val="00752E29"/>
    <w:rsid w:val="007E1315"/>
    <w:rsid w:val="008443AB"/>
    <w:rsid w:val="00847254"/>
    <w:rsid w:val="008C717D"/>
    <w:rsid w:val="00A65752"/>
    <w:rsid w:val="00B41304"/>
    <w:rsid w:val="00C468BC"/>
    <w:rsid w:val="00E850AF"/>
    <w:rsid w:val="00EB03A3"/>
    <w:rsid w:val="00F65329"/>
    <w:rsid w:val="2BEC21BD"/>
    <w:rsid w:val="3B3E0A62"/>
    <w:rsid w:val="3C4A2B9F"/>
    <w:rsid w:val="4B0A414B"/>
    <w:rsid w:val="6602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B321"/>
  <w15:docId w15:val="{02B70D89-2FD3-4480-A069-16F16ACE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高振玉</cp:lastModifiedBy>
  <cp:revision>4</cp:revision>
  <dcterms:created xsi:type="dcterms:W3CDTF">2021-08-12T03:41:00Z</dcterms:created>
  <dcterms:modified xsi:type="dcterms:W3CDTF">2023-03-24T08:58:00Z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63D868A3503E4592A6A6AAA8741E8282</vt:lpwstr>
  </property>
</Properties>
</file>