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2024-09-24T10:19:00</vt:filetime>
  </property>
</Properties>
</file>