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305"/>
        <w:spacing w:before="48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2025</w:t>
      </w:r>
      <w:r>
        <w:rPr>
          <w:rFonts w:ascii="SimHei" w:hAnsi="SimHei" w:eastAsia="SimHei" w:cs="SimHei"/>
          <w:sz w:val="24"/>
          <w:szCs w:val="24"/>
          <w:spacing w:val="-50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2"/>
        </w:rPr>
        <w:t>年暨南大学</w:t>
      </w:r>
    </w:p>
    <w:p>
      <w:pPr>
        <w:ind w:left="2736"/>
        <w:spacing w:before="28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攻读经济学硕士学位研究生</w:t>
      </w:r>
    </w:p>
    <w:p>
      <w:pPr>
        <w:ind w:left="3103"/>
        <w:spacing w:before="28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西方经济学考试大纲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22" w:right="58" w:firstLine="438"/>
        <w:spacing w:before="78" w:line="229" w:lineRule="auto"/>
        <w:rPr/>
      </w:pPr>
      <w:r>
        <w:rPr>
          <w:spacing w:val="-2"/>
        </w:rPr>
        <w:t>为选拔优秀本科毕业生攻读暨南大学经济学硕士学位研究生，按照“考查基</w:t>
      </w:r>
      <w:r>
        <w:rPr>
          <w:spacing w:val="6"/>
        </w:rPr>
        <w:t xml:space="preserve"> </w:t>
      </w:r>
      <w:r>
        <w:rPr>
          <w:spacing w:val="-2"/>
        </w:rPr>
        <w:t>础，公平竞争，择优录取，优质高效”的原则，特制订本考试大纲。</w:t>
      </w:r>
    </w:p>
    <w:p>
      <w:pPr>
        <w:ind w:left="3096"/>
        <w:spacing w:before="27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第一部分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</w:t>
      </w:r>
      <w:r>
        <w:rPr>
          <w:rFonts w:ascii="SimHei" w:hAnsi="SimHei" w:eastAsia="SimHei" w:cs="SimHei"/>
          <w:sz w:val="24"/>
          <w:szCs w:val="24"/>
          <w:spacing w:val="-1"/>
        </w:rPr>
        <w:t>考试说明</w:t>
      </w:r>
    </w:p>
    <w:p>
      <w:pPr>
        <w:pStyle w:val="BodyText"/>
        <w:ind w:left="23" w:right="60" w:firstLine="485"/>
        <w:spacing w:before="28" w:line="230" w:lineRule="auto"/>
        <w:rPr/>
      </w:pPr>
      <w:r>
        <w:rPr>
          <w:spacing w:val="-3"/>
        </w:rPr>
        <w:t>西方经济学原理，由微观经济学和宏观经济学两</w:t>
      </w:r>
      <w:r>
        <w:rPr>
          <w:spacing w:val="-4"/>
        </w:rPr>
        <w:t>部分组成。考试内容覆盖了</w:t>
      </w:r>
      <w:r>
        <w:rPr/>
        <w:t xml:space="preserve"> </w:t>
      </w:r>
      <w:r>
        <w:rPr>
          <w:spacing w:val="-1"/>
        </w:rPr>
        <w:t>微观经济学和宏观经济学基础理论的主要部分。</w:t>
      </w:r>
    </w:p>
    <w:p>
      <w:pPr>
        <w:pStyle w:val="BodyText"/>
        <w:ind w:left="23" w:firstLine="479"/>
        <w:spacing w:before="28" w:line="235" w:lineRule="auto"/>
        <w:rPr/>
      </w:pPr>
      <w:r>
        <w:rPr>
          <w:spacing w:val="-1"/>
        </w:rPr>
        <w:t>考试目的在于测试申请攻读经济学硕士学位的本</w:t>
      </w:r>
      <w:r>
        <w:rPr>
          <w:spacing w:val="-2"/>
        </w:rPr>
        <w:t>科生对经济学的基本概念、</w:t>
      </w:r>
      <w:r>
        <w:rPr/>
        <w:t xml:space="preserve"> </w:t>
      </w:r>
      <w:r>
        <w:rPr>
          <w:spacing w:val="-3"/>
        </w:rPr>
        <w:t>基本原理及基本分析工具和分析方法的掌握程度，考查考生是否具备应用基本原</w:t>
      </w:r>
      <w:r>
        <w:rPr>
          <w:spacing w:val="1"/>
        </w:rPr>
        <w:t xml:space="preserve"> </w:t>
      </w:r>
      <w:r>
        <w:rPr>
          <w:spacing w:val="-5"/>
        </w:rPr>
        <w:t>理和方法来分析各种经济现象、解决各种问题的能力，</w:t>
      </w:r>
      <w:r>
        <w:rPr>
          <w:spacing w:val="-47"/>
        </w:rPr>
        <w:t xml:space="preserve"> </w:t>
      </w:r>
      <w:r>
        <w:rPr>
          <w:spacing w:val="-5"/>
        </w:rPr>
        <w:t>是否具备进一步深</w:t>
      </w:r>
      <w:r>
        <w:rPr>
          <w:spacing w:val="-6"/>
        </w:rPr>
        <w:t>造的知</w:t>
      </w:r>
      <w:r>
        <w:rPr/>
        <w:t xml:space="preserve"> </w:t>
      </w:r>
      <w:r>
        <w:rPr>
          <w:spacing w:val="-6"/>
        </w:rPr>
        <w:t>识储备和潜质。</w:t>
      </w:r>
    </w:p>
    <w:p>
      <w:pPr>
        <w:pStyle w:val="BodyText"/>
        <w:ind w:left="25" w:right="59" w:firstLine="478"/>
        <w:spacing w:before="27" w:line="229" w:lineRule="auto"/>
        <w:rPr/>
      </w:pPr>
      <w:r>
        <w:rPr>
          <w:spacing w:val="-3"/>
        </w:rPr>
        <w:t>考试要求达到高等学校优秀本科毕业生的水平，以保证被录取者</w:t>
      </w:r>
      <w:r>
        <w:rPr>
          <w:spacing w:val="-4"/>
        </w:rPr>
        <w:t>具有较好的</w:t>
      </w:r>
      <w:r>
        <w:rPr/>
        <w:t xml:space="preserve"> </w:t>
      </w:r>
      <w:r>
        <w:rPr>
          <w:spacing w:val="-1"/>
        </w:rPr>
        <w:t>经济学理论基础和科研潜质。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left="3096"/>
        <w:spacing w:before="78" w:line="219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第二部分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</w:t>
      </w:r>
      <w:r>
        <w:rPr>
          <w:rFonts w:ascii="SimHei" w:hAnsi="SimHei" w:eastAsia="SimHei" w:cs="SimHei"/>
          <w:sz w:val="24"/>
          <w:szCs w:val="24"/>
          <w:spacing w:val="-1"/>
        </w:rPr>
        <w:t>考查要点</w:t>
      </w:r>
    </w:p>
    <w:p>
      <w:pPr>
        <w:pStyle w:val="BodyText"/>
        <w:ind w:left="267"/>
        <w:spacing w:before="28" w:line="219" w:lineRule="auto"/>
        <w:rPr/>
      </w:pPr>
      <w:r>
        <w:rPr>
          <w:spacing w:val="-2"/>
        </w:rPr>
        <w:t>一 供给和需求的基本原理</w:t>
      </w:r>
    </w:p>
    <w:p>
      <w:pPr>
        <w:pStyle w:val="BodyText"/>
        <w:ind w:left="462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rFonts w:ascii="Times New Roman" w:hAnsi="Times New Roman" w:eastAsia="Times New Roman" w:cs="Times New Roman"/>
          <w:spacing w:val="3"/>
        </w:rPr>
        <w:t xml:space="preserve">    </w:t>
      </w:r>
      <w:r>
        <w:rPr>
          <w:spacing w:val="-6"/>
        </w:rPr>
        <w:t>供给和需求</w:t>
      </w:r>
    </w:p>
    <w:p>
      <w:pPr>
        <w:pStyle w:val="BodyText"/>
        <w:ind w:left="439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市场机制与市场均衡的变动</w:t>
      </w:r>
    </w:p>
    <w:p>
      <w:pPr>
        <w:pStyle w:val="BodyText"/>
        <w:ind w:left="444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供给和需求的弹性</w:t>
      </w:r>
    </w:p>
    <w:p>
      <w:pPr>
        <w:pStyle w:val="BodyText"/>
        <w:ind w:left="267" w:right="4405" w:firstLine="170"/>
        <w:spacing w:before="29" w:line="230" w:lineRule="auto"/>
        <w:rPr/>
      </w:pPr>
      <w:r>
        <w:rPr>
          <w:rFonts w:ascii="Times New Roman" w:hAnsi="Times New Roman" w:eastAsia="Times New Roman" w:cs="Times New Roman"/>
          <w:spacing w:val="-1"/>
        </w:rPr>
        <w:t>4.    </w:t>
      </w:r>
      <w:r>
        <w:rPr>
          <w:spacing w:val="-1"/>
        </w:rPr>
        <w:t>政府干预——价格控制的效应</w:t>
      </w:r>
      <w:r>
        <w:rPr>
          <w:spacing w:val="14"/>
        </w:rPr>
        <w:t xml:space="preserve"> </w:t>
      </w:r>
      <w:r>
        <w:rPr>
          <w:spacing w:val="-5"/>
        </w:rPr>
        <w:t>二</w:t>
      </w:r>
      <w:r>
        <w:rPr>
          <w:spacing w:val="18"/>
        </w:rPr>
        <w:t xml:space="preserve"> </w:t>
      </w:r>
      <w:r>
        <w:rPr>
          <w:spacing w:val="-5"/>
        </w:rPr>
        <w:t>消费者行为</w:t>
      </w:r>
    </w:p>
    <w:p>
      <w:pPr>
        <w:pStyle w:val="BodyText"/>
        <w:ind w:left="524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rFonts w:ascii="Times New Roman" w:hAnsi="Times New Roman" w:eastAsia="Times New Roman" w:cs="Times New Roman"/>
          <w:spacing w:val="4"/>
        </w:rPr>
        <w:t xml:space="preserve">   </w:t>
      </w:r>
      <w:r>
        <w:rPr>
          <w:spacing w:val="-6"/>
        </w:rPr>
        <w:t>消费者选择</w:t>
      </w:r>
    </w:p>
    <w:p>
      <w:pPr>
        <w:pStyle w:val="BodyText"/>
        <w:ind w:left="501"/>
        <w:spacing w:before="25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 </w:t>
      </w:r>
      <w:r>
        <w:rPr>
          <w:spacing w:val="-1"/>
        </w:rPr>
        <w:t>个人需求与市场需求</w:t>
      </w:r>
    </w:p>
    <w:p>
      <w:pPr>
        <w:pStyle w:val="BodyText"/>
        <w:ind w:left="506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   </w:t>
      </w:r>
      <w:r>
        <w:rPr>
          <w:spacing w:val="-1"/>
        </w:rPr>
        <w:t>收入效应和替代效应</w:t>
      </w:r>
    </w:p>
    <w:p>
      <w:pPr>
        <w:pStyle w:val="BodyText"/>
        <w:ind w:left="263" w:right="4885" w:firstLine="236"/>
        <w:spacing w:before="26" w:line="230" w:lineRule="auto"/>
        <w:rPr/>
      </w:pPr>
      <w:r>
        <w:rPr>
          <w:rFonts w:ascii="Times New Roman" w:hAnsi="Times New Roman" w:eastAsia="Times New Roman" w:cs="Times New Roman"/>
          <w:spacing w:val="-1"/>
        </w:rPr>
        <w:t>4.   </w:t>
      </w:r>
      <w:r>
        <w:rPr>
          <w:spacing w:val="-1"/>
        </w:rPr>
        <w:t>消费者剩余与网络外部性</w:t>
      </w:r>
      <w:r>
        <w:rPr>
          <w:spacing w:val="9"/>
        </w:rPr>
        <w:t xml:space="preserve"> </w:t>
      </w:r>
      <w:r>
        <w:rPr>
          <w:spacing w:val="-6"/>
        </w:rPr>
        <w:t>三</w:t>
      </w:r>
      <w:r>
        <w:rPr>
          <w:spacing w:val="13"/>
        </w:rPr>
        <w:t xml:space="preserve"> </w:t>
      </w:r>
      <w:r>
        <w:rPr>
          <w:spacing w:val="-6"/>
        </w:rPr>
        <w:t>生产</w:t>
      </w:r>
    </w:p>
    <w:p>
      <w:pPr>
        <w:pStyle w:val="BodyText"/>
        <w:ind w:left="476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1.    </w:t>
      </w:r>
      <w:r>
        <w:rPr>
          <w:spacing w:val="-4"/>
        </w:rPr>
        <w:t>生产技术</w:t>
      </w:r>
    </w:p>
    <w:p>
      <w:pPr>
        <w:pStyle w:val="BodyText"/>
        <w:ind w:left="453"/>
        <w:spacing w:before="26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一种可变投入要素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劳动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的生产</w:t>
      </w:r>
    </w:p>
    <w:p>
      <w:pPr>
        <w:pStyle w:val="BodyText"/>
        <w:ind w:left="458"/>
        <w:spacing w:before="35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rFonts w:ascii="Times New Roman" w:hAnsi="Times New Roman" w:eastAsia="Times New Roman" w:cs="Times New Roman"/>
          <w:spacing w:val="20"/>
        </w:rPr>
        <w:t xml:space="preserve">   </w:t>
      </w:r>
      <w:r>
        <w:rPr>
          <w:spacing w:val="-2"/>
        </w:rPr>
        <w:t>两种可变投入要素的生产</w:t>
      </w:r>
    </w:p>
    <w:p>
      <w:pPr>
        <w:pStyle w:val="BodyText"/>
        <w:ind w:left="286" w:right="6566" w:firstLine="166"/>
        <w:spacing w:before="28" w:line="229" w:lineRule="auto"/>
        <w:rPr/>
      </w:pPr>
      <w:r>
        <w:rPr>
          <w:rFonts w:ascii="Times New Roman" w:hAnsi="Times New Roman" w:eastAsia="Times New Roman" w:cs="Times New Roman"/>
          <w:spacing w:val="-3"/>
        </w:rPr>
        <w:t>4.</w:t>
      </w:r>
      <w:r>
        <w:rPr>
          <w:rFonts w:ascii="Times New Roman" w:hAnsi="Times New Roman" w:eastAsia="Times New Roman" w:cs="Times New Roman"/>
          <w:spacing w:val="19"/>
        </w:rPr>
        <w:t xml:space="preserve">   </w:t>
      </w:r>
      <w:r>
        <w:rPr>
          <w:spacing w:val="-3"/>
        </w:rPr>
        <w:t>规模报酬</w:t>
      </w:r>
      <w:r>
        <w:rPr>
          <w:spacing w:val="1"/>
        </w:rPr>
        <w:t xml:space="preserve"> </w:t>
      </w:r>
      <w:r>
        <w:rPr>
          <w:spacing w:val="-9"/>
        </w:rPr>
        <w:t>四</w:t>
      </w:r>
      <w:r>
        <w:rPr>
          <w:spacing w:val="14"/>
        </w:rPr>
        <w:t xml:space="preserve"> </w:t>
      </w:r>
      <w:r>
        <w:rPr>
          <w:spacing w:val="-9"/>
        </w:rPr>
        <w:t>生产成本</w:t>
      </w:r>
    </w:p>
    <w:p>
      <w:pPr>
        <w:pStyle w:val="BodyText"/>
        <w:ind w:left="469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8"/>
        </w:rPr>
        <w:t>1.    </w:t>
      </w:r>
      <w:r>
        <w:rPr>
          <w:spacing w:val="-8"/>
        </w:rPr>
        <w:t>成本的测度：哪些成本重要？</w:t>
      </w:r>
    </w:p>
    <w:p>
      <w:pPr>
        <w:pStyle w:val="BodyText"/>
        <w:ind w:left="446"/>
        <w:spacing w:before="28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短期成本与长期成本</w:t>
      </w:r>
    </w:p>
    <w:p>
      <w:pPr>
        <w:pStyle w:val="BodyText"/>
        <w:ind w:left="451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3.    </w:t>
      </w:r>
      <w:r>
        <w:rPr>
          <w:spacing w:val="-2"/>
        </w:rPr>
        <w:t>长期与短期成本曲线</w:t>
      </w:r>
    </w:p>
    <w:p>
      <w:pPr>
        <w:pStyle w:val="BodyText"/>
        <w:ind w:left="267" w:right="4405" w:firstLine="177"/>
        <w:spacing w:before="29" w:line="229" w:lineRule="auto"/>
        <w:rPr/>
      </w:pPr>
      <w:r>
        <w:rPr>
          <w:rFonts w:ascii="Times New Roman" w:hAnsi="Times New Roman" w:eastAsia="Times New Roman" w:cs="Times New Roman"/>
          <w:spacing w:val="-1"/>
        </w:rPr>
        <w:t>4.    </w:t>
      </w:r>
      <w:r>
        <w:rPr>
          <w:spacing w:val="-1"/>
        </w:rPr>
        <w:t>两种产品的生产——范围经济</w:t>
      </w:r>
      <w:r>
        <w:rPr>
          <w:spacing w:val="7"/>
        </w:rPr>
        <w:t xml:space="preserve"> </w:t>
      </w:r>
      <w:r>
        <w:rPr>
          <w:spacing w:val="-1"/>
        </w:rPr>
        <w:t>五 利润最大化和竞争性供给</w:t>
      </w:r>
    </w:p>
    <w:p>
      <w:pPr>
        <w:pStyle w:val="BodyText"/>
        <w:ind w:left="469"/>
        <w:spacing w:before="27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    </w:t>
      </w:r>
      <w:r>
        <w:rPr>
          <w:spacing w:val="-3"/>
        </w:rPr>
        <w:t>完全竞争市场</w:t>
      </w:r>
    </w:p>
    <w:p>
      <w:pPr>
        <w:pStyle w:val="BodyText"/>
        <w:ind w:left="446"/>
        <w:spacing w:before="26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边际收益、边际成本和利润最大化</w:t>
      </w:r>
    </w:p>
    <w:p>
      <w:pPr>
        <w:pStyle w:val="BodyText"/>
        <w:ind w:left="451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选择短期产量与竞争性厂商及市场的短期供给曲线</w:t>
      </w:r>
    </w:p>
    <w:p>
      <w:pPr>
        <w:pStyle w:val="BodyText"/>
        <w:ind w:left="265" w:right="3686" w:firstLine="179"/>
        <w:spacing w:before="27" w:line="230" w:lineRule="auto"/>
        <w:rPr/>
      </w:pPr>
      <w:r>
        <w:rPr>
          <w:rFonts w:ascii="Times New Roman" w:hAnsi="Times New Roman" w:eastAsia="Times New Roman" w:cs="Times New Roman"/>
          <w:spacing w:val="-1"/>
        </w:rPr>
        <w:t>4.    </w:t>
      </w:r>
      <w:r>
        <w:rPr>
          <w:spacing w:val="-1"/>
        </w:rPr>
        <w:t>长期产量选择与行业的长期供给曲线</w:t>
      </w:r>
      <w:r>
        <w:rPr>
          <w:spacing w:val="9"/>
        </w:rPr>
        <w:t xml:space="preserve"> </w:t>
      </w:r>
      <w:r>
        <w:rPr>
          <w:spacing w:val="-2"/>
        </w:rPr>
        <w:t>六 竞争性市场分析</w:t>
      </w:r>
    </w:p>
    <w:p>
      <w:pPr>
        <w:pStyle w:val="BodyText"/>
        <w:ind w:left="462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    </w:t>
      </w:r>
      <w:r>
        <w:rPr>
          <w:spacing w:val="-2"/>
        </w:rPr>
        <w:t>竞争性市场的效率</w:t>
      </w:r>
    </w:p>
    <w:p>
      <w:pPr>
        <w:spacing w:line="220" w:lineRule="auto"/>
        <w:sectPr>
          <w:footerReference w:type="default" r:id="rId1"/>
          <w:pgSz w:w="11907" w:h="16839"/>
          <w:pgMar w:top="1428" w:right="1739" w:bottom="1357" w:left="1785" w:header="0" w:footer="1197" w:gutter="0"/>
        </w:sectPr>
        <w:rPr/>
      </w:pPr>
    </w:p>
    <w:p>
      <w:pPr>
        <w:pStyle w:val="BodyText"/>
        <w:ind w:left="439"/>
        <w:spacing w:before="48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最低价格、价格支持和生产配额</w:t>
      </w:r>
    </w:p>
    <w:p>
      <w:pPr>
        <w:pStyle w:val="BodyText"/>
        <w:ind w:left="444"/>
        <w:spacing w:before="27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进口配额与关税</w:t>
      </w:r>
    </w:p>
    <w:p>
      <w:pPr>
        <w:pStyle w:val="BodyText"/>
        <w:ind w:left="438"/>
        <w:spacing w:before="25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    </w:t>
      </w:r>
      <w:r>
        <w:rPr>
          <w:spacing w:val="-1"/>
        </w:rPr>
        <w:t>征税或补贴的影响</w:t>
      </w:r>
    </w:p>
    <w:p>
      <w:pPr>
        <w:pStyle w:val="BodyText"/>
        <w:ind w:left="262"/>
        <w:spacing w:before="25" w:line="220" w:lineRule="auto"/>
        <w:rPr/>
      </w:pPr>
      <w:r>
        <w:rPr>
          <w:spacing w:val="-1"/>
        </w:rPr>
        <w:t>七 市场势力：垄断与买方垄断</w:t>
      </w:r>
    </w:p>
    <w:p>
      <w:pPr>
        <w:pStyle w:val="BodyText"/>
        <w:ind w:left="462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    </w:t>
      </w:r>
      <w:r>
        <w:rPr>
          <w:spacing w:val="-2"/>
        </w:rPr>
        <w:t>垄断势力的来源与社会成本</w:t>
      </w:r>
    </w:p>
    <w:p>
      <w:pPr>
        <w:pStyle w:val="BodyText"/>
        <w:ind w:left="439"/>
        <w:spacing w:before="27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买方垄断与买方垄断势力</w:t>
      </w:r>
    </w:p>
    <w:p>
      <w:pPr>
        <w:pStyle w:val="BodyText"/>
        <w:ind w:left="444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限制市场势力：反托拉斯法</w:t>
      </w:r>
    </w:p>
    <w:p>
      <w:pPr>
        <w:pStyle w:val="BodyText"/>
        <w:ind w:left="267" w:right="5560" w:firstLine="170"/>
        <w:spacing w:before="26" w:line="230" w:lineRule="auto"/>
        <w:rPr/>
      </w:pPr>
      <w:r>
        <w:rPr>
          <w:rFonts w:ascii="Times New Roman" w:hAnsi="Times New Roman" w:eastAsia="Times New Roman" w:cs="Times New Roman"/>
          <w:spacing w:val="-1"/>
        </w:rPr>
        <w:t>4.    </w:t>
      </w:r>
      <w:r>
        <w:rPr>
          <w:spacing w:val="-1"/>
        </w:rPr>
        <w:t>有市场势力的定价</w:t>
      </w:r>
      <w:r>
        <w:rPr>
          <w:spacing w:val="9"/>
        </w:rPr>
        <w:t xml:space="preserve"> </w:t>
      </w:r>
      <w:r>
        <w:rPr>
          <w:spacing w:val="-2"/>
        </w:rPr>
        <w:t>八 垄断竞争和寡头垄断</w:t>
      </w:r>
    </w:p>
    <w:p>
      <w:pPr>
        <w:pStyle w:val="BodyText"/>
        <w:ind w:left="462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rFonts w:ascii="Times New Roman" w:hAnsi="Times New Roman" w:eastAsia="Times New Roman" w:cs="Times New Roman"/>
          <w:spacing w:val="2"/>
        </w:rPr>
        <w:t xml:space="preserve">    </w:t>
      </w:r>
      <w:r>
        <w:rPr>
          <w:spacing w:val="-6"/>
        </w:rPr>
        <w:t>垄断竞争</w:t>
      </w:r>
    </w:p>
    <w:p>
      <w:pPr>
        <w:pStyle w:val="BodyText"/>
        <w:ind w:left="439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3"/>
        </w:rPr>
        <w:t xml:space="preserve">    </w:t>
      </w:r>
      <w:r>
        <w:rPr>
          <w:spacing w:val="-3"/>
        </w:rPr>
        <w:t>寡头垄断</w:t>
      </w:r>
    </w:p>
    <w:p>
      <w:pPr>
        <w:pStyle w:val="BodyText"/>
        <w:ind w:left="444"/>
        <w:spacing w:before="27" w:line="218" w:lineRule="auto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rFonts w:ascii="Times New Roman" w:hAnsi="Times New Roman" w:eastAsia="Times New Roman" w:cs="Times New Roman"/>
          <w:spacing w:val="2"/>
        </w:rPr>
        <w:t xml:space="preserve">    </w:t>
      </w:r>
      <w:r>
        <w:rPr>
          <w:spacing w:val="-3"/>
        </w:rPr>
        <w:t>价格竞争</w:t>
      </w:r>
    </w:p>
    <w:p>
      <w:pPr>
        <w:pStyle w:val="BodyText"/>
        <w:ind w:left="269" w:right="5560" w:firstLine="168"/>
        <w:spacing w:before="28" w:line="230" w:lineRule="auto"/>
        <w:rPr/>
      </w:pPr>
      <w:r>
        <w:rPr>
          <w:rFonts w:ascii="Times New Roman" w:hAnsi="Times New Roman" w:eastAsia="Times New Roman" w:cs="Times New Roman"/>
          <w:spacing w:val="-1"/>
        </w:rPr>
        <w:t>4.    </w:t>
      </w:r>
      <w:r>
        <w:rPr>
          <w:spacing w:val="-1"/>
        </w:rPr>
        <w:t>博弈论和竞争策略</w:t>
      </w:r>
      <w:r>
        <w:rPr>
          <w:spacing w:val="9"/>
        </w:rPr>
        <w:t xml:space="preserve"> </w:t>
      </w:r>
      <w:r>
        <w:rPr>
          <w:spacing w:val="-2"/>
        </w:rPr>
        <w:t>九 投入要素市场</w:t>
      </w:r>
    </w:p>
    <w:p>
      <w:pPr>
        <w:pStyle w:val="BodyText"/>
        <w:ind w:left="438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rFonts w:ascii="Times New Roman" w:hAnsi="Times New Roman" w:eastAsia="Times New Roman" w:cs="Times New Roman"/>
          <w:spacing w:val="10"/>
        </w:rPr>
        <w:t xml:space="preserve">    </w:t>
      </w:r>
      <w:r>
        <w:rPr>
          <w:spacing w:val="-5"/>
        </w:rPr>
        <w:t>竞争性要素市场</w:t>
      </w:r>
    </w:p>
    <w:p>
      <w:pPr>
        <w:pStyle w:val="BodyText"/>
        <w:ind w:left="415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rFonts w:ascii="Times New Roman" w:hAnsi="Times New Roman" w:eastAsia="Times New Roman" w:cs="Times New Roman"/>
          <w:spacing w:val="10"/>
        </w:rPr>
        <w:t xml:space="preserve">    </w:t>
      </w:r>
      <w:r>
        <w:rPr>
          <w:spacing w:val="-2"/>
        </w:rPr>
        <w:t>竞争性要素市场的均衡</w:t>
      </w:r>
    </w:p>
    <w:p>
      <w:pPr>
        <w:pStyle w:val="BodyText"/>
        <w:ind w:left="420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rFonts w:ascii="Times New Roman" w:hAnsi="Times New Roman" w:eastAsia="Times New Roman" w:cs="Times New Roman"/>
          <w:spacing w:val="13"/>
        </w:rPr>
        <w:t xml:space="preserve">    </w:t>
      </w:r>
      <w:r>
        <w:rPr>
          <w:spacing w:val="-3"/>
        </w:rPr>
        <w:t>买方垄断势力的要素市场</w:t>
      </w:r>
    </w:p>
    <w:p>
      <w:pPr>
        <w:pStyle w:val="BodyText"/>
        <w:ind w:left="264" w:right="4840" w:firstLine="149"/>
        <w:spacing w:before="26" w:line="230" w:lineRule="auto"/>
        <w:rPr/>
      </w:pPr>
      <w:r>
        <w:rPr>
          <w:rFonts w:ascii="Times New Roman" w:hAnsi="Times New Roman" w:eastAsia="Times New Roman" w:cs="Times New Roman"/>
          <w:spacing w:val="-2"/>
        </w:rPr>
        <w:t>4.</w:t>
      </w:r>
      <w:r>
        <w:rPr>
          <w:rFonts w:ascii="Times New Roman" w:hAnsi="Times New Roman" w:eastAsia="Times New Roman" w:cs="Times New Roman"/>
          <w:spacing w:val="11"/>
        </w:rPr>
        <w:t xml:space="preserve">    </w:t>
      </w:r>
      <w:r>
        <w:rPr>
          <w:spacing w:val="-2"/>
        </w:rPr>
        <w:t>有垄断势力时的要素市场</w:t>
      </w:r>
      <w:r>
        <w:rPr>
          <w:spacing w:val="1"/>
        </w:rPr>
        <w:t xml:space="preserve"> </w:t>
      </w:r>
      <w:r>
        <w:rPr>
          <w:spacing w:val="-1"/>
        </w:rPr>
        <w:t>十 一般均衡与经济效率</w:t>
      </w:r>
    </w:p>
    <w:p>
      <w:pPr>
        <w:pStyle w:val="BodyText"/>
        <w:ind w:left="462"/>
        <w:spacing w:before="27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rFonts w:ascii="Times New Roman" w:hAnsi="Times New Roman" w:eastAsia="Times New Roman" w:cs="Times New Roman"/>
          <w:spacing w:val="4"/>
        </w:rPr>
        <w:t xml:space="preserve">    </w:t>
      </w:r>
      <w:r>
        <w:rPr>
          <w:spacing w:val="-6"/>
        </w:rPr>
        <w:t>一般均衡分析</w:t>
      </w:r>
    </w:p>
    <w:p>
      <w:pPr>
        <w:pStyle w:val="BodyText"/>
        <w:ind w:left="439"/>
        <w:spacing w:before="25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交换与生产的效率</w:t>
      </w:r>
    </w:p>
    <w:p>
      <w:pPr>
        <w:pStyle w:val="BodyText"/>
        <w:ind w:left="444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信息不对称市场</w:t>
      </w:r>
    </w:p>
    <w:p>
      <w:pPr>
        <w:pStyle w:val="BodyText"/>
        <w:ind w:left="264" w:right="5800" w:firstLine="173"/>
        <w:spacing w:before="26" w:line="230" w:lineRule="auto"/>
        <w:rPr/>
      </w:pPr>
      <w:r>
        <w:rPr>
          <w:rFonts w:ascii="Times New Roman" w:hAnsi="Times New Roman" w:eastAsia="Times New Roman" w:cs="Times New Roman"/>
          <w:spacing w:val="-1"/>
        </w:rPr>
        <w:t>4.    </w:t>
      </w:r>
      <w:r>
        <w:rPr>
          <w:spacing w:val="-1"/>
        </w:rPr>
        <w:t>外部性与公共品</w:t>
      </w:r>
      <w:r>
        <w:rPr>
          <w:spacing w:val="8"/>
        </w:rPr>
        <w:t xml:space="preserve"> </w:t>
      </w:r>
      <w:r>
        <w:rPr>
          <w:spacing w:val="-1"/>
        </w:rPr>
        <w:t>十一 宏观经济数据</w:t>
      </w:r>
    </w:p>
    <w:p>
      <w:pPr>
        <w:pStyle w:val="BodyText"/>
        <w:ind w:left="524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1.   </w:t>
      </w:r>
      <w:r>
        <w:rPr>
          <w:spacing w:val="-1"/>
        </w:rPr>
        <w:t>国内生产总值：基本概念、核算方法和</w:t>
      </w:r>
      <w:r>
        <w:rPr>
          <w:spacing w:val="-2"/>
        </w:rPr>
        <w:t>核算体系</w:t>
      </w:r>
    </w:p>
    <w:p>
      <w:pPr>
        <w:pStyle w:val="BodyText"/>
        <w:ind w:left="501"/>
        <w:spacing w:before="27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2.   </w:t>
      </w:r>
      <w:r>
        <w:rPr>
          <w:spacing w:val="-1"/>
        </w:rPr>
        <w:t>消费者价格指数</w:t>
      </w:r>
    </w:p>
    <w:p>
      <w:pPr>
        <w:pStyle w:val="BodyText"/>
        <w:ind w:left="506"/>
        <w:spacing w:before="28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3.</w:t>
      </w:r>
      <w:r>
        <w:rPr>
          <w:rFonts w:ascii="Times New Roman" w:hAnsi="Times New Roman" w:eastAsia="Times New Roman" w:cs="Times New Roman"/>
          <w:spacing w:val="4"/>
        </w:rPr>
        <w:t xml:space="preserve">   </w:t>
      </w:r>
      <w:r>
        <w:rPr>
          <w:spacing w:val="-4"/>
        </w:rPr>
        <w:t>失业率</w:t>
      </w:r>
    </w:p>
    <w:p>
      <w:pPr>
        <w:pStyle w:val="BodyText"/>
        <w:ind w:left="264"/>
        <w:spacing w:before="26" w:line="220" w:lineRule="auto"/>
        <w:rPr/>
      </w:pPr>
      <w:r>
        <w:rPr>
          <w:spacing w:val="-4"/>
        </w:rPr>
        <w:t>十二</w:t>
      </w:r>
      <w:r>
        <w:rPr>
          <w:spacing w:val="39"/>
        </w:rPr>
        <w:t xml:space="preserve"> </w:t>
      </w:r>
      <w:r>
        <w:rPr>
          <w:spacing w:val="-4"/>
        </w:rPr>
        <w:t>国民收入的来源与分配</w:t>
      </w:r>
    </w:p>
    <w:p>
      <w:pPr>
        <w:pStyle w:val="BodyText"/>
        <w:ind w:left="524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   </w:t>
      </w:r>
      <w:r>
        <w:rPr>
          <w:spacing w:val="-2"/>
        </w:rPr>
        <w:t>长期中国民收入的决定和分配</w:t>
      </w:r>
    </w:p>
    <w:p>
      <w:pPr>
        <w:pStyle w:val="BodyText"/>
        <w:ind w:left="501"/>
        <w:spacing w:before="27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 </w:t>
      </w:r>
      <w:r>
        <w:rPr>
          <w:spacing w:val="-1"/>
        </w:rPr>
        <w:t>总需求的构成</w:t>
      </w:r>
    </w:p>
    <w:p>
      <w:pPr>
        <w:pStyle w:val="BodyText"/>
        <w:ind w:left="506"/>
        <w:spacing w:before="25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   </w:t>
      </w:r>
      <w:r>
        <w:rPr>
          <w:spacing w:val="-1"/>
        </w:rPr>
        <w:t>产品和劳务市场及可贷资金市场</w:t>
      </w:r>
    </w:p>
    <w:p>
      <w:pPr>
        <w:pStyle w:val="BodyText"/>
        <w:ind w:left="500"/>
        <w:spacing w:before="27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   </w:t>
      </w:r>
      <w:r>
        <w:rPr>
          <w:spacing w:val="-1"/>
        </w:rPr>
        <w:t>挤出效应</w:t>
      </w:r>
    </w:p>
    <w:p>
      <w:pPr>
        <w:pStyle w:val="BodyText"/>
        <w:ind w:left="264"/>
        <w:spacing w:before="26" w:line="219" w:lineRule="auto"/>
        <w:rPr/>
      </w:pPr>
      <w:r>
        <w:rPr>
          <w:spacing w:val="-1"/>
        </w:rPr>
        <w:t>十三 货币与通货膨胀</w:t>
      </w:r>
    </w:p>
    <w:p>
      <w:pPr>
        <w:pStyle w:val="BodyText"/>
        <w:ind w:left="524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   </w:t>
      </w:r>
      <w:r>
        <w:rPr>
          <w:spacing w:val="-2"/>
        </w:rPr>
        <w:t>货币的概念、特征和货币数量的衡量</w:t>
      </w:r>
    </w:p>
    <w:p>
      <w:pPr>
        <w:pStyle w:val="BodyText"/>
        <w:ind w:left="501"/>
        <w:spacing w:before="28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5"/>
        </w:rPr>
        <w:t xml:space="preserve">   </w:t>
      </w:r>
      <w:r>
        <w:rPr>
          <w:spacing w:val="-3"/>
        </w:rPr>
        <w:t>货币数量论</w:t>
      </w:r>
    </w:p>
    <w:p>
      <w:pPr>
        <w:pStyle w:val="BodyText"/>
        <w:ind w:left="506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3.</w:t>
      </w:r>
      <w:r>
        <w:rPr>
          <w:rFonts w:ascii="Times New Roman" w:hAnsi="Times New Roman" w:eastAsia="Times New Roman" w:cs="Times New Roman"/>
          <w:spacing w:val="4"/>
        </w:rPr>
        <w:t xml:space="preserve">   </w:t>
      </w:r>
      <w:r>
        <w:rPr>
          <w:spacing w:val="-4"/>
        </w:rPr>
        <w:t>货币乘数</w:t>
      </w:r>
    </w:p>
    <w:p>
      <w:pPr>
        <w:pStyle w:val="BodyText"/>
        <w:ind w:left="264" w:right="5079" w:firstLine="235"/>
        <w:spacing w:before="28" w:line="230" w:lineRule="auto"/>
        <w:rPr/>
      </w:pPr>
      <w:r>
        <w:rPr>
          <w:rFonts w:ascii="Times New Roman" w:hAnsi="Times New Roman" w:eastAsia="Times New Roman" w:cs="Times New Roman"/>
          <w:spacing w:val="-1"/>
        </w:rPr>
        <w:t>4.   </w:t>
      </w:r>
      <w:r>
        <w:rPr>
          <w:spacing w:val="-1"/>
        </w:rPr>
        <w:t>通货膨胀的成因和影响</w:t>
      </w:r>
      <w:r>
        <w:rPr>
          <w:spacing w:val="8"/>
        </w:rPr>
        <w:t xml:space="preserve"> </w:t>
      </w:r>
      <w:r>
        <w:rPr>
          <w:spacing w:val="-1"/>
        </w:rPr>
        <w:t>十四 经济增长理论</w:t>
      </w:r>
    </w:p>
    <w:p>
      <w:pPr>
        <w:pStyle w:val="BodyText"/>
        <w:ind w:left="524"/>
        <w:spacing w:before="25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   </w:t>
      </w:r>
      <w:r>
        <w:rPr>
          <w:spacing w:val="-3"/>
        </w:rPr>
        <w:t>新古典增长理论</w:t>
      </w:r>
    </w:p>
    <w:p>
      <w:pPr>
        <w:pStyle w:val="BodyText"/>
        <w:ind w:left="501"/>
        <w:spacing w:before="27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 </w:t>
      </w:r>
      <w:r>
        <w:rPr>
          <w:spacing w:val="-1"/>
        </w:rPr>
        <w:t>新增长理论</w:t>
      </w:r>
    </w:p>
    <w:p>
      <w:pPr>
        <w:pStyle w:val="BodyText"/>
        <w:ind w:left="264"/>
        <w:spacing w:before="26" w:line="220" w:lineRule="auto"/>
        <w:rPr/>
      </w:pPr>
      <w:r>
        <w:rPr>
          <w:spacing w:val="-1"/>
        </w:rPr>
        <w:t>十五 经济波动导论</w:t>
      </w:r>
    </w:p>
    <w:p>
      <w:pPr>
        <w:pStyle w:val="BodyText"/>
        <w:ind w:left="462"/>
        <w:spacing w:before="25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    </w:t>
      </w:r>
      <w:r>
        <w:rPr>
          <w:spacing w:val="-2"/>
        </w:rPr>
        <w:t>宏观经济学的时间范畴</w:t>
      </w:r>
    </w:p>
    <w:p>
      <w:pPr>
        <w:pStyle w:val="BodyText"/>
        <w:ind w:left="439"/>
        <w:spacing w:before="27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rFonts w:ascii="Times New Roman" w:hAnsi="Times New Roman" w:eastAsia="Times New Roman" w:cs="Times New Roman"/>
          <w:spacing w:val="4"/>
        </w:rPr>
        <w:t xml:space="preserve">    </w:t>
      </w:r>
      <w:r>
        <w:rPr>
          <w:spacing w:val="-4"/>
        </w:rPr>
        <w:t>总需求</w:t>
      </w:r>
    </w:p>
    <w:p>
      <w:pPr>
        <w:pStyle w:val="BodyText"/>
        <w:ind w:left="444"/>
        <w:spacing w:before="25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3.</w:t>
      </w:r>
      <w:r>
        <w:rPr>
          <w:rFonts w:ascii="Times New Roman" w:hAnsi="Times New Roman" w:eastAsia="Times New Roman" w:cs="Times New Roman"/>
          <w:spacing w:val="4"/>
        </w:rPr>
        <w:t xml:space="preserve">    </w:t>
      </w:r>
      <w:r>
        <w:rPr>
          <w:spacing w:val="-5"/>
        </w:rPr>
        <w:t>总供给</w:t>
      </w:r>
    </w:p>
    <w:p>
      <w:pPr>
        <w:spacing w:line="219" w:lineRule="auto"/>
        <w:sectPr>
          <w:footerReference w:type="default" r:id="rId2"/>
          <w:pgSz w:w="11907" w:h="16839"/>
          <w:pgMar w:top="1428" w:right="1785" w:bottom="1357" w:left="1785" w:header="0" w:footer="1197" w:gutter="0"/>
        </w:sectPr>
        <w:rPr/>
      </w:pPr>
    </w:p>
    <w:p>
      <w:pPr>
        <w:pStyle w:val="BodyText"/>
        <w:ind w:left="264" w:right="6280" w:firstLine="173"/>
        <w:spacing w:before="47" w:line="230" w:lineRule="auto"/>
        <w:rPr/>
      </w:pPr>
      <w:r>
        <w:rPr>
          <w:rFonts w:ascii="Times New Roman" w:hAnsi="Times New Roman" w:eastAsia="Times New Roman" w:cs="Times New Roman"/>
          <w:spacing w:val="-1"/>
        </w:rPr>
        <w:t>4.    </w:t>
      </w:r>
      <w:r>
        <w:rPr>
          <w:spacing w:val="-1"/>
        </w:rPr>
        <w:t>稳定化政策</w:t>
      </w:r>
      <w:r>
        <w:rPr>
          <w:spacing w:val="6"/>
        </w:rPr>
        <w:t xml:space="preserve"> </w:t>
      </w:r>
      <w:r>
        <w:rPr>
          <w:spacing w:val="-2"/>
        </w:rPr>
        <w:t>十六 </w:t>
      </w:r>
      <w:r>
        <w:rPr>
          <w:rFonts w:ascii="Times New Roman" w:hAnsi="Times New Roman" w:eastAsia="Times New Roman" w:cs="Times New Roman"/>
          <w:spacing w:val="-2"/>
        </w:rPr>
        <w:t>IS-LM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-2"/>
        </w:rPr>
        <w:t>模型</w:t>
      </w:r>
    </w:p>
    <w:p>
      <w:pPr>
        <w:pStyle w:val="BodyText"/>
        <w:ind w:left="462"/>
        <w:spacing w:before="25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1.    </w:t>
      </w:r>
      <w:r>
        <w:rPr>
          <w:spacing w:val="-4"/>
        </w:rPr>
        <w:t>产品市场与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IS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4"/>
        </w:rPr>
        <w:t>曲线</w:t>
      </w:r>
    </w:p>
    <w:p>
      <w:pPr>
        <w:pStyle w:val="BodyText"/>
        <w:ind w:left="439"/>
        <w:spacing w:before="26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2.    </w:t>
      </w:r>
      <w:r>
        <w:rPr>
          <w:spacing w:val="-3"/>
        </w:rPr>
        <w:t>货币市场与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LM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-3"/>
        </w:rPr>
        <w:t>曲线</w:t>
      </w:r>
    </w:p>
    <w:p>
      <w:pPr>
        <w:pStyle w:val="BodyText"/>
        <w:ind w:left="444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产品市场与货币市场的一般均衡</w:t>
      </w:r>
    </w:p>
    <w:p>
      <w:pPr>
        <w:pStyle w:val="BodyText"/>
        <w:ind w:left="438"/>
        <w:spacing w:before="28" w:line="233" w:lineRule="auto"/>
        <w:rPr/>
      </w:pPr>
      <w:r>
        <w:rPr>
          <w:rFonts w:ascii="Times New Roman" w:hAnsi="Times New Roman" w:eastAsia="Times New Roman" w:cs="Times New Roman"/>
          <w:spacing w:val="-1"/>
        </w:rPr>
        <w:t>4.    IS-LM </w:t>
      </w:r>
      <w:r>
        <w:rPr>
          <w:spacing w:val="-1"/>
        </w:rPr>
        <w:t>模型的运用</w:t>
      </w:r>
    </w:p>
    <w:p>
      <w:pPr>
        <w:pStyle w:val="BodyText"/>
        <w:ind w:left="264"/>
        <w:spacing w:before="9" w:line="220" w:lineRule="auto"/>
        <w:rPr/>
      </w:pPr>
      <w:r>
        <w:rPr>
          <w:spacing w:val="-1"/>
        </w:rPr>
        <w:t>十七 开放经济的宏观经济均衡</w:t>
      </w:r>
    </w:p>
    <w:p>
      <w:pPr>
        <w:pStyle w:val="BodyText"/>
        <w:ind w:left="462"/>
        <w:spacing w:before="25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    </w:t>
      </w:r>
      <w:r>
        <w:rPr>
          <w:spacing w:val="-2"/>
        </w:rPr>
        <w:t>开放经济中的贸易、资本流动和汇率</w:t>
      </w:r>
    </w:p>
    <w:p>
      <w:pPr>
        <w:pStyle w:val="BodyText"/>
        <w:ind w:left="439"/>
        <w:spacing w:before="27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蒙代尔</w:t>
      </w:r>
      <w:r>
        <w:rPr>
          <w:rFonts w:ascii="Times New Roman" w:hAnsi="Times New Roman" w:eastAsia="Times New Roman" w:cs="Times New Roman"/>
          <w:spacing w:val="-1"/>
        </w:rPr>
        <w:t>-</w:t>
      </w:r>
      <w:r>
        <w:rPr>
          <w:spacing w:val="-1"/>
        </w:rPr>
        <w:t>弗莱明模型</w:t>
      </w:r>
    </w:p>
    <w:p>
      <w:pPr>
        <w:pStyle w:val="BodyText"/>
        <w:ind w:left="444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不同汇率制度下蒙代尔</w:t>
      </w:r>
      <w:r>
        <w:rPr>
          <w:rFonts w:ascii="Times New Roman" w:hAnsi="Times New Roman" w:eastAsia="Times New Roman" w:cs="Times New Roman"/>
          <w:spacing w:val="-1"/>
        </w:rPr>
        <w:t>-</w:t>
      </w:r>
      <w:r>
        <w:rPr>
          <w:spacing w:val="-1"/>
        </w:rPr>
        <w:t>弗莱明模型的运用</w:t>
      </w:r>
    </w:p>
    <w:p>
      <w:pPr>
        <w:pStyle w:val="BodyText"/>
        <w:ind w:left="264" w:right="4600" w:firstLine="173"/>
        <w:spacing w:before="26" w:line="230" w:lineRule="auto"/>
        <w:rPr/>
      </w:pPr>
      <w:r>
        <w:rPr>
          <w:rFonts w:ascii="Times New Roman" w:hAnsi="Times New Roman" w:eastAsia="Times New Roman" w:cs="Times New Roman"/>
          <w:spacing w:val="-3"/>
        </w:rPr>
        <w:t>4.</w:t>
      </w:r>
      <w:r>
        <w:rPr>
          <w:rFonts w:ascii="Times New Roman" w:hAnsi="Times New Roman" w:eastAsia="Times New Roman" w:cs="Times New Roman"/>
          <w:spacing w:val="9"/>
        </w:rPr>
        <w:t xml:space="preserve">    </w:t>
      </w:r>
      <w:r>
        <w:rPr>
          <w:spacing w:val="-3"/>
        </w:rPr>
        <w:t>国际利率差别的原因及影响</w:t>
      </w:r>
      <w:r>
        <w:rPr>
          <w:spacing w:val="1"/>
        </w:rPr>
        <w:t xml:space="preserve"> </w:t>
      </w:r>
      <w:r>
        <w:rPr>
          <w:spacing w:val="-1"/>
        </w:rPr>
        <w:t>十八 总供给与菲利普斯曲线</w:t>
      </w:r>
    </w:p>
    <w:p>
      <w:pPr>
        <w:pStyle w:val="BodyText"/>
        <w:ind w:left="462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1.    </w:t>
      </w:r>
      <w:r>
        <w:rPr>
          <w:spacing w:val="-3"/>
        </w:rPr>
        <w:t>三种总供给曲线</w:t>
      </w:r>
    </w:p>
    <w:p>
      <w:pPr>
        <w:pStyle w:val="BodyText"/>
        <w:ind w:left="264" w:right="4120" w:firstLine="174"/>
        <w:spacing w:before="27" w:line="230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通货膨胀、失业与菲利普斯曲线</w:t>
      </w:r>
      <w:r>
        <w:rPr>
          <w:spacing w:val="13"/>
        </w:rPr>
        <w:t xml:space="preserve"> </w:t>
      </w:r>
      <w:r>
        <w:rPr>
          <w:spacing w:val="-1"/>
        </w:rPr>
        <w:t>十九 宏观经济政策的争论</w:t>
      </w:r>
    </w:p>
    <w:p>
      <w:pPr>
        <w:pStyle w:val="BodyText"/>
        <w:ind w:left="462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rFonts w:ascii="Times New Roman" w:hAnsi="Times New Roman" w:eastAsia="Times New Roman" w:cs="Times New Roman"/>
          <w:spacing w:val="2"/>
        </w:rPr>
        <w:t xml:space="preserve">    </w:t>
      </w:r>
      <w:r>
        <w:rPr>
          <w:spacing w:val="-6"/>
        </w:rPr>
        <w:t>稳定政策</w:t>
      </w:r>
    </w:p>
    <w:p>
      <w:pPr>
        <w:pStyle w:val="BodyText"/>
        <w:ind w:left="439"/>
        <w:spacing w:before="26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政府债务</w:t>
      </w:r>
    </w:p>
    <w:p>
      <w:pPr>
        <w:pStyle w:val="BodyText"/>
        <w:ind w:left="267"/>
        <w:spacing w:before="28" w:line="220" w:lineRule="auto"/>
        <w:rPr/>
      </w:pPr>
      <w:r>
        <w:rPr>
          <w:spacing w:val="-1"/>
        </w:rPr>
        <w:t>二十 经济学前沿动态与经济热点分析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left="3096"/>
        <w:spacing w:before="78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第三部分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</w:t>
      </w:r>
      <w:r>
        <w:rPr>
          <w:rFonts w:ascii="SimHei" w:hAnsi="SimHei" w:eastAsia="SimHei" w:cs="SimHei"/>
          <w:sz w:val="24"/>
          <w:szCs w:val="24"/>
          <w:spacing w:val="-1"/>
        </w:rPr>
        <w:t>考试形式</w:t>
      </w:r>
    </w:p>
    <w:p>
      <w:pPr>
        <w:pStyle w:val="BodyText"/>
        <w:ind w:left="447" w:right="5020"/>
        <w:spacing w:before="29" w:line="230" w:lineRule="auto"/>
        <w:rPr/>
      </w:pPr>
      <w:r>
        <w:rPr>
          <w:spacing w:val="-2"/>
        </w:rPr>
        <w:t>一  答卷方式：闭卷，笔试</w:t>
      </w:r>
      <w:r>
        <w:rPr>
          <w:spacing w:val="11"/>
        </w:rPr>
        <w:t xml:space="preserve"> </w:t>
      </w:r>
      <w:r>
        <w:rPr>
          <w:spacing w:val="-2"/>
        </w:rPr>
        <w:t>二  答题时间：</w:t>
      </w:r>
      <w:r>
        <w:rPr>
          <w:rFonts w:ascii="Times New Roman" w:hAnsi="Times New Roman" w:eastAsia="Times New Roman" w:cs="Times New Roman"/>
          <w:spacing w:val="-2"/>
        </w:rPr>
        <w:t>180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2"/>
        </w:rPr>
        <w:t>分钟</w:t>
      </w:r>
    </w:p>
    <w:p>
      <w:pPr>
        <w:pStyle w:val="BodyText"/>
        <w:ind w:left="443"/>
        <w:spacing w:before="25" w:line="220" w:lineRule="auto"/>
        <w:rPr/>
      </w:pPr>
      <w:r>
        <w:rPr>
          <w:spacing w:val="-4"/>
        </w:rPr>
        <w:t>三  满分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4"/>
        </w:rPr>
        <w:t>分，分值比例</w:t>
      </w:r>
    </w:p>
    <w:p>
      <w:pPr>
        <w:pStyle w:val="BodyText"/>
        <w:ind w:left="923"/>
        <w:spacing w:before="26" w:line="220" w:lineRule="auto"/>
        <w:rPr>
          <w:rFonts w:ascii="Times New Roman" w:hAnsi="Times New Roman" w:eastAsia="Times New Roman" w:cs="Times New Roman"/>
        </w:rPr>
      </w:pPr>
      <w:r>
        <w:rPr>
          <w:spacing w:val="-5"/>
        </w:rPr>
        <w:t>微观经济学</w:t>
      </w:r>
      <w:r>
        <w:rPr>
          <w:spacing w:val="23"/>
        </w:rPr>
        <w:t xml:space="preserve"> </w:t>
      </w:r>
      <w:r>
        <w:rPr>
          <w:spacing w:val="-5"/>
        </w:rPr>
        <w:t>约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50%</w:t>
      </w:r>
    </w:p>
    <w:p>
      <w:pPr>
        <w:pStyle w:val="BodyText"/>
        <w:ind w:left="466" w:right="5359" w:firstLine="457"/>
        <w:spacing w:before="28" w:line="230" w:lineRule="auto"/>
        <w:rPr/>
      </w:pPr>
      <w:r>
        <w:rPr>
          <w:spacing w:val="-5"/>
        </w:rPr>
        <w:t>宏观经济学</w:t>
      </w:r>
      <w:r>
        <w:rPr>
          <w:spacing w:val="23"/>
        </w:rPr>
        <w:t xml:space="preserve"> </w:t>
      </w:r>
      <w:r>
        <w:rPr>
          <w:spacing w:val="-5"/>
        </w:rPr>
        <w:t>约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50%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8"/>
        </w:rPr>
        <w:t>四</w:t>
      </w:r>
      <w:r>
        <w:rPr>
          <w:spacing w:val="4"/>
        </w:rPr>
        <w:t xml:space="preserve">  </w:t>
      </w:r>
      <w:r>
        <w:rPr>
          <w:spacing w:val="-8"/>
        </w:rPr>
        <w:t>题型比例</w:t>
      </w:r>
    </w:p>
    <w:p>
      <w:pPr>
        <w:spacing w:line="25" w:lineRule="exact"/>
        <w:rPr/>
      </w:pPr>
      <w:r/>
    </w:p>
    <w:tbl>
      <w:tblPr>
        <w:tblStyle w:val="TableNormal"/>
        <w:tblW w:w="3951" w:type="dxa"/>
        <w:tblInd w:w="447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51"/>
        <w:gridCol w:w="1322"/>
        <w:gridCol w:w="2278"/>
      </w:tblGrid>
      <w:tr>
        <w:trPr>
          <w:trHeight w:val="285" w:hRule="atLeast"/>
        </w:trPr>
        <w:tc>
          <w:tcPr>
            <w:tcW w:w="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2" w:type="dxa"/>
            <w:vAlign w:val="top"/>
          </w:tcPr>
          <w:p>
            <w:pPr>
              <w:ind w:left="124"/>
              <w:spacing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选择题</w:t>
            </w:r>
          </w:p>
        </w:tc>
        <w:tc>
          <w:tcPr>
            <w:tcW w:w="2278" w:type="dxa"/>
            <w:vAlign w:val="top"/>
          </w:tcPr>
          <w:p>
            <w:pPr>
              <w:ind w:left="249"/>
              <w:spacing w:line="211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约</w:t>
            </w:r>
            <w:r>
              <w:rPr>
                <w:rFonts w:ascii="SimSun" w:hAnsi="SimSun" w:eastAsia="SimSun" w:cs="SimSun"/>
                <w:sz w:val="24"/>
                <w:szCs w:val="24"/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25%</w:t>
            </w:r>
          </w:p>
        </w:tc>
      </w:tr>
      <w:tr>
        <w:trPr>
          <w:trHeight w:val="312" w:hRule="atLeast"/>
        </w:trPr>
        <w:tc>
          <w:tcPr>
            <w:tcW w:w="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2" w:type="dxa"/>
            <w:vAlign w:val="top"/>
          </w:tcPr>
          <w:p>
            <w:pPr>
              <w:ind w:left="125"/>
              <w:spacing w:before="26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计算题</w:t>
            </w:r>
          </w:p>
        </w:tc>
        <w:tc>
          <w:tcPr>
            <w:tcW w:w="2278" w:type="dxa"/>
            <w:vAlign w:val="top"/>
          </w:tcPr>
          <w:p>
            <w:pPr>
              <w:ind w:left="249"/>
              <w:spacing w:before="26" w:line="21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约</w:t>
            </w:r>
            <w:r>
              <w:rPr>
                <w:rFonts w:ascii="SimSun" w:hAnsi="SimSun" w:eastAsia="SimSun" w:cs="SimSun"/>
                <w:sz w:val="24"/>
                <w:szCs w:val="24"/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45%</w:t>
            </w:r>
          </w:p>
        </w:tc>
      </w:tr>
      <w:tr>
        <w:trPr>
          <w:trHeight w:val="312" w:hRule="atLeast"/>
        </w:trPr>
        <w:tc>
          <w:tcPr>
            <w:tcW w:w="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2" w:type="dxa"/>
            <w:vAlign w:val="top"/>
          </w:tcPr>
          <w:p>
            <w:pPr>
              <w:ind w:left="128"/>
              <w:spacing w:before="26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分析题</w:t>
            </w:r>
          </w:p>
        </w:tc>
        <w:tc>
          <w:tcPr>
            <w:tcW w:w="2278" w:type="dxa"/>
            <w:vAlign w:val="top"/>
          </w:tcPr>
          <w:p>
            <w:pPr>
              <w:ind w:left="249"/>
              <w:spacing w:before="26" w:line="21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约</w:t>
            </w:r>
            <w:r>
              <w:rPr>
                <w:rFonts w:ascii="SimSun" w:hAnsi="SimSun" w:eastAsia="SimSun" w:cs="SimSun"/>
                <w:sz w:val="24"/>
                <w:szCs w:val="24"/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20%</w:t>
            </w:r>
          </w:p>
        </w:tc>
      </w:tr>
      <w:tr>
        <w:trPr>
          <w:trHeight w:val="303" w:hRule="atLeast"/>
        </w:trPr>
        <w:tc>
          <w:tcPr>
            <w:tcW w:w="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2" w:type="dxa"/>
            <w:vAlign w:val="top"/>
          </w:tcPr>
          <w:p>
            <w:pPr>
              <w:ind w:left="126"/>
              <w:spacing w:before="26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其他题型</w:t>
            </w:r>
          </w:p>
        </w:tc>
        <w:tc>
          <w:tcPr>
            <w:tcW w:w="2278" w:type="dxa"/>
            <w:vAlign w:val="top"/>
          </w:tcPr>
          <w:p>
            <w:pPr>
              <w:spacing w:before="26" w:line="205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按需设置（约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9"/>
              </w:rPr>
              <w:t>10%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）</w:t>
            </w:r>
          </w:p>
        </w:tc>
      </w:tr>
      <w:tr>
        <w:trPr>
          <w:trHeight w:val="276" w:hRule="atLeast"/>
        </w:trPr>
        <w:tc>
          <w:tcPr>
            <w:tcW w:w="351" w:type="dxa"/>
            <w:vAlign w:val="top"/>
          </w:tcPr>
          <w:p>
            <w:pPr>
              <w:spacing w:before="35" w:line="17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五</w:t>
            </w:r>
          </w:p>
        </w:tc>
        <w:tc>
          <w:tcPr>
            <w:tcW w:w="1322" w:type="dxa"/>
            <w:vAlign w:val="top"/>
          </w:tcPr>
          <w:p>
            <w:pPr>
              <w:ind w:left="127"/>
              <w:spacing w:before="35" w:line="17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参考书目</w:t>
            </w: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9" w:right="14" w:firstLine="3"/>
        <w:spacing w:before="71" w:line="230" w:lineRule="auto"/>
        <w:rPr/>
      </w:pPr>
      <w:r>
        <w:rPr>
          <w:spacing w:val="-10"/>
        </w:rPr>
        <w:t>平狄克、鲁宾费尔德：《微观经济学》（第九版</w:t>
      </w:r>
      <w:r>
        <w:rPr>
          <w:spacing w:val="-14"/>
        </w:rPr>
        <w:t>），</w:t>
      </w:r>
      <w:r>
        <w:rPr>
          <w:spacing w:val="-10"/>
        </w:rPr>
        <w:t>中国人民大学出版社</w:t>
      </w:r>
      <w:r>
        <w:rPr>
          <w:spacing w:val="-11"/>
        </w:rPr>
        <w:t>，</w:t>
      </w:r>
      <w:r>
        <w:rPr>
          <w:rFonts w:ascii="Times New Roman" w:hAnsi="Times New Roman" w:eastAsia="Times New Roman" w:cs="Times New Roman"/>
          <w:spacing w:val="-11"/>
        </w:rPr>
        <w:t>2020 </w:t>
      </w:r>
      <w:r>
        <w:rPr>
          <w:spacing w:val="-11"/>
        </w:rPr>
        <w:t>年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10"/>
        </w:rPr>
        <w:t>月。</w:t>
      </w:r>
    </w:p>
    <w:p>
      <w:pPr>
        <w:pStyle w:val="BodyText"/>
        <w:ind w:left="27"/>
        <w:spacing w:before="26" w:line="220" w:lineRule="auto"/>
        <w:rPr/>
      </w:pPr>
      <w:r>
        <w:rPr>
          <w:spacing w:val="-11"/>
        </w:rPr>
        <w:t>曼昆：《宏观经济学》（第九版</w:t>
      </w:r>
      <w:r>
        <w:rPr>
          <w:spacing w:val="-25"/>
        </w:rPr>
        <w:t>），</w:t>
      </w:r>
      <w:r>
        <w:rPr>
          <w:spacing w:val="-11"/>
        </w:rPr>
        <w:t>中国人民大学出版社，</w:t>
      </w:r>
      <w:r>
        <w:rPr>
          <w:rFonts w:ascii="Times New Roman" w:hAnsi="Times New Roman" w:eastAsia="Times New Roman" w:cs="Times New Roman"/>
          <w:spacing w:val="-11"/>
        </w:rPr>
        <w:t>2016 </w:t>
      </w:r>
      <w:r>
        <w:rPr>
          <w:spacing w:val="-11"/>
        </w:rPr>
        <w:t>年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8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11"/>
        </w:rPr>
        <w:t>月。</w:t>
      </w:r>
    </w:p>
    <w:sectPr>
      <w:footerReference w:type="default" r:id="rId3"/>
      <w:pgSz w:w="11907" w:h="16839"/>
      <w:pgMar w:top="1428" w:right="1785" w:bottom="1357" w:left="1785" w:header="0" w:footer="119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经济学考试大纲</dc:title>
  <dc:creator>a</dc:creator>
  <dcterms:created xsi:type="dcterms:W3CDTF">2024-06-26T11:35:42Z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2024-09-23T15:34:30</vt:filetime>
  </property>
</Properties>
</file>