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40" w:after="240" w:line="360" w:lineRule="auto"/>
        <w:jc w:val="center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华中农业大学硕士研究生入学考试大纲</w:t>
      </w:r>
    </w:p>
    <w:p>
      <w:pPr>
        <w:keepNext/>
        <w:keepLines/>
        <w:spacing w:before="120" w:after="120" w:line="360" w:lineRule="auto"/>
        <w:jc w:val="center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考试科目：</w:t>
      </w: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  <w:t>623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《新闻与传播专业综合能力》</w:t>
      </w:r>
    </w:p>
    <w:p>
      <w:pPr>
        <w:keepNext/>
        <w:keepLines/>
        <w:spacing w:before="120" w:after="120" w:line="360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一、考试的学科范围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本课程考试范围包括：广告运作、品牌管理、传媒经营、网络与新媒体传播四部分。</w:t>
      </w:r>
    </w:p>
    <w:p>
      <w:pPr>
        <w:keepNext/>
        <w:keepLines/>
        <w:spacing w:before="120" w:after="120" w:line="360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二、要求掌握的基本内容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要求了解广告运作、品牌管理、传媒经营及网络和新媒体传播业界的最新趋势，掌握广告运作、品牌管理、传媒经营、网络与新媒体传播领域的基本知识、理论和实践技能，能够综合运用上述相关学科的基本知识、理论和方法解释各种传播现象、解决各种传播问题。</w:t>
      </w:r>
    </w:p>
    <w:p>
      <w:pPr>
        <w:keepNext/>
        <w:keepLines/>
        <w:spacing w:before="120" w:after="120" w:line="360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三、参考书目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1. </w:t>
      </w:r>
      <w:r>
        <w:rPr>
          <w:rFonts w:hint="eastAsia" w:ascii="Times New Roman" w:hAnsi="Times New Roman"/>
          <w:kern w:val="0"/>
          <w:szCs w:val="21"/>
        </w:rPr>
        <w:t>张金海、余晓莉：《现代广告学教程》，高等教育出版社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 xml:space="preserve">. </w:t>
      </w:r>
      <w:r>
        <w:rPr>
          <w:rFonts w:hint="eastAsia" w:ascii="Times New Roman" w:hAnsi="Times New Roman"/>
          <w:kern w:val="0"/>
          <w:szCs w:val="21"/>
        </w:rPr>
        <w:t>阿伦斯等：《当代广告学》，丁俊杰、程坪、陈志娟译，人民邮电出版社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3. </w:t>
      </w:r>
      <w:r>
        <w:rPr>
          <w:rFonts w:hint="eastAsia" w:ascii="Times New Roman" w:hAnsi="Times New Roman"/>
          <w:kern w:val="0"/>
          <w:szCs w:val="21"/>
        </w:rPr>
        <w:t>黄合水：《品牌学概论》，高等教育出版社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 xml:space="preserve">. </w:t>
      </w:r>
      <w:r>
        <w:rPr>
          <w:rFonts w:hint="eastAsia" w:ascii="Times New Roman" w:hAnsi="Times New Roman"/>
          <w:kern w:val="0"/>
          <w:szCs w:val="21"/>
        </w:rPr>
        <w:t>凯勒：《战略品牌管理》，吴水龙、何云译，中国人民大学出版社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 xml:space="preserve">. </w:t>
      </w:r>
      <w:r>
        <w:rPr>
          <w:rFonts w:hint="eastAsia" w:ascii="Times New Roman" w:hAnsi="Times New Roman"/>
          <w:kern w:val="0"/>
          <w:szCs w:val="21"/>
        </w:rPr>
        <w:t>喻国明、丁汉青、支庭荣：《传媒经济学教程》，中国人民大学出版社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6</w:t>
      </w:r>
      <w:r>
        <w:rPr>
          <w:rFonts w:ascii="Times New Roman" w:hAnsi="Times New Roman"/>
          <w:kern w:val="0"/>
          <w:szCs w:val="21"/>
        </w:rPr>
        <w:t xml:space="preserve">. </w:t>
      </w:r>
      <w:r>
        <w:rPr>
          <w:rFonts w:hint="eastAsia" w:ascii="Times New Roman" w:hAnsi="Times New Roman"/>
          <w:kern w:val="0"/>
          <w:szCs w:val="21"/>
        </w:rPr>
        <w:t>谢新洲：《媒介经营与管理》，北京大学出版社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7.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彭兰：《网络传播概论》，中国人民大学出版社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8.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</w:rPr>
        <w:t>李良荣：《</w:t>
      </w:r>
      <w:r>
        <w:rPr>
          <w:rFonts w:hint="eastAsia" w:ascii="Times New Roman" w:hAnsi="Times New Roman"/>
          <w:kern w:val="0"/>
          <w:szCs w:val="21"/>
        </w:rPr>
        <w:t>网络与新媒体概论》，高等教育出版社</w:t>
      </w:r>
    </w:p>
    <w:p>
      <w:pPr>
        <w:keepNext/>
        <w:keepLines/>
        <w:spacing w:before="120" w:after="120" w:line="360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四、考试的知识范围（课程复习大纲）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Arial"/>
          <w:color w:val="111111"/>
          <w:szCs w:val="21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（一）广告与广告市场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广告的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起源及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社会功能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2、现代广告的定义及其本质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广告产业的性质及其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范围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4、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广告市场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的含义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及其构成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5、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广告代理制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6、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广告公司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、媒体、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广告主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、受众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7、直销、推销、促销、事件营销、公关与广告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（二）</w:t>
      </w:r>
      <w:r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  <w:t>广告</w:t>
      </w: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运作过</w:t>
      </w:r>
      <w:r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  <w:t>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广告调查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的内容及方法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广告策划的原则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、方法与流程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广告创意的思维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与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方法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cs="Arial"/>
          <w:color w:val="111111"/>
          <w:szCs w:val="21"/>
          <w:shd w:val="clear" w:color="auto" w:fill="FFFFFF"/>
        </w:rPr>
        <w:t>4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广告表现的基本元素与技巧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cs="Arial"/>
          <w:color w:val="111111"/>
          <w:szCs w:val="21"/>
          <w:shd w:val="clear" w:color="auto" w:fill="FFFFFF"/>
        </w:rPr>
        <w:t>5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广告媒体的选择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组合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与排期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</w:rPr>
      </w:pPr>
      <w:r>
        <w:rPr>
          <w:rFonts w:ascii="Times New Roman" w:hAnsi="Times New Roman" w:cs="Arial"/>
          <w:color w:val="111111"/>
          <w:szCs w:val="21"/>
          <w:shd w:val="clear" w:color="auto" w:fill="FFFFFF"/>
        </w:rPr>
        <w:t>6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cs="Arial"/>
          <w:color w:val="111111"/>
          <w:szCs w:val="21"/>
        </w:rPr>
        <w:t>广告效果的发生模式、测定方法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（三）现代广告新发展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1、“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整合营销传播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”理论及其实践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数字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化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背景下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的广告运作与广告形态革新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互联网交互式信息平台营销传播的开发与利用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（四）品牌资产评估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1、品牌的本质与意义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2、品牌与品牌资产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3、基于顾客的品牌资产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4、品牌意识与品牌联想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5、品牌主观质量与品牌态度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6、品牌忠诚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7、品牌资产模型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（五）品牌建设管理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1、品牌化决策、品牌架构、品牌组合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2、品牌定位、品牌识别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3、品牌延伸、品牌联盟、品牌更新、品牌维护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4、品牌社群、品牌故事、品牌杠杆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5、品牌本土化与国际化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6、品牌价值链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7、品牌建设步骤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8、品牌营销传播方案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9、数字时代的品牌建设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（六）传媒产业的基本特征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cs="Arial"/>
          <w:color w:val="111111"/>
          <w:szCs w:val="21"/>
          <w:shd w:val="clear" w:color="auto" w:fill="FFFFFF"/>
        </w:rPr>
        <w:t>1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传媒产业的经济特征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传媒产业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的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商业模式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传媒产业的经济本质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4、传媒产业价值链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5、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传媒产品的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类型及特征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6、传媒市场的结构与特征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（七）传媒产业的其它特征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1、传媒产业中的外部性和网络外部性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2、传媒产业中的市场失灵和政府失灵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3、传媒产业中的规模经济与范围经济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cs="Arial"/>
          <w:color w:val="111111"/>
          <w:szCs w:val="21"/>
          <w:shd w:val="clear" w:color="auto" w:fill="FFFFFF"/>
        </w:rPr>
        <w:t>4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、传媒产业中的虚拟经济与流量经济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cs="Arial"/>
          <w:color w:val="111111"/>
          <w:szCs w:val="21"/>
          <w:shd w:val="clear" w:color="auto" w:fill="FFFFFF"/>
        </w:rPr>
        <w:t>5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、传媒产品跨国流动中的文化折扣现象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cs="Arial"/>
          <w:color w:val="111111"/>
          <w:szCs w:val="21"/>
          <w:shd w:val="clear" w:color="auto" w:fill="FFFFFF"/>
        </w:rPr>
        <w:t>6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、传媒市场中的明星高收入现象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7、世界当代传媒业概况与特征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8、中国当代传媒业概况与特征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（八）传媒组织的经营与管理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传媒经营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与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管理的目标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2、传媒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的所有制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形式、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管理方式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和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运行模式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媒介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融合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与跨媒介经营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4、传媒广告资源开发与运营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（九）</w:t>
      </w:r>
      <w:r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  <w:t>互联网的</w:t>
      </w: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演进</w:t>
      </w:r>
      <w:r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  <w:t>及对传媒</w:t>
      </w: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产</w:t>
      </w:r>
      <w:r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  <w:t>业的影响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互联网的技术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基础及其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发展逻辑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网络媒体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及其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演变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网络媒体冲击下传统媒体的变革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宋体"/>
          <w:color w:val="656565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4、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互联网的未来走向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及其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影响 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（十）网络传播及其特征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1、网络的属性与传播形态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2、新媒体新在何处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3、网络与新媒体用户特征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4、网络与新媒体信息特征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5、社会化媒体应用的基本思维与策略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6、</w:t>
      </w:r>
      <w:r>
        <w:rPr>
          <w:rFonts w:ascii="Times New Roman" w:hAnsi="Times New Roman" w:cs="Arial"/>
          <w:color w:val="111111"/>
          <w:szCs w:val="21"/>
          <w:shd w:val="clear" w:color="auto" w:fill="FFFFFF"/>
        </w:rPr>
        <w:t>网络传播的具体形式</w:t>
      </w:r>
      <w:r>
        <w:rPr>
          <w:rFonts w:hint="eastAsia" w:ascii="Times New Roman" w:hAnsi="Times New Roman" w:cs="Arial"/>
          <w:color w:val="111111"/>
          <w:szCs w:val="21"/>
          <w:shd w:val="clear" w:color="auto" w:fill="FFFFFF"/>
        </w:rPr>
        <w:t>及其特征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left"/>
        <w:outlineLvl w:val="0"/>
        <w:rPr>
          <w:rFonts w:ascii="Times New Roman" w:hAnsi="Times New Roman" w:eastAsia="黑体" w:cs="Tahoma"/>
          <w:b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黑体" w:cs="Tahoma"/>
          <w:b/>
          <w:sz w:val="24"/>
          <w:szCs w:val="21"/>
          <w:shd w:val="clear" w:color="auto" w:fill="FFFFFF"/>
        </w:rPr>
        <w:t>（十一）网络传播与社会发展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、网络与舆情、舆论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2、网络文化及其影响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3、网络技术与“数字鸿沟”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4、网络时代的媒介素养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5、网络传播与乡村发展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M2QxMjZjNjhhMTMzMzFjOTYwZDhkMjk2YmRmMzkifQ=="/>
  </w:docVars>
  <w:rsids>
    <w:rsidRoot w:val="00DF7BDC"/>
    <w:rsid w:val="00040924"/>
    <w:rsid w:val="00042828"/>
    <w:rsid w:val="00056D90"/>
    <w:rsid w:val="000619E0"/>
    <w:rsid w:val="00067BEF"/>
    <w:rsid w:val="0007431D"/>
    <w:rsid w:val="00093E17"/>
    <w:rsid w:val="00093F5D"/>
    <w:rsid w:val="0009736E"/>
    <w:rsid w:val="000A28E4"/>
    <w:rsid w:val="000C0637"/>
    <w:rsid w:val="000C14F8"/>
    <w:rsid w:val="000F1702"/>
    <w:rsid w:val="0013459D"/>
    <w:rsid w:val="001416B7"/>
    <w:rsid w:val="001515CF"/>
    <w:rsid w:val="001516FF"/>
    <w:rsid w:val="00160C1B"/>
    <w:rsid w:val="0016474B"/>
    <w:rsid w:val="00185255"/>
    <w:rsid w:val="00187B6D"/>
    <w:rsid w:val="00190944"/>
    <w:rsid w:val="001D15C5"/>
    <w:rsid w:val="001D5985"/>
    <w:rsid w:val="001E5CF5"/>
    <w:rsid w:val="00207D56"/>
    <w:rsid w:val="002269A1"/>
    <w:rsid w:val="00234EE5"/>
    <w:rsid w:val="00253C97"/>
    <w:rsid w:val="002715CC"/>
    <w:rsid w:val="00272D4A"/>
    <w:rsid w:val="0028568C"/>
    <w:rsid w:val="002A08F4"/>
    <w:rsid w:val="002A40B4"/>
    <w:rsid w:val="002E1218"/>
    <w:rsid w:val="002E70EA"/>
    <w:rsid w:val="002F567D"/>
    <w:rsid w:val="00340FAF"/>
    <w:rsid w:val="00347A12"/>
    <w:rsid w:val="00363CA8"/>
    <w:rsid w:val="00376D54"/>
    <w:rsid w:val="003856B1"/>
    <w:rsid w:val="003B04C9"/>
    <w:rsid w:val="003C1D83"/>
    <w:rsid w:val="003C1F57"/>
    <w:rsid w:val="003F7F42"/>
    <w:rsid w:val="0040542F"/>
    <w:rsid w:val="00406A61"/>
    <w:rsid w:val="00420CD4"/>
    <w:rsid w:val="004216B2"/>
    <w:rsid w:val="0042688E"/>
    <w:rsid w:val="0047352A"/>
    <w:rsid w:val="004877AB"/>
    <w:rsid w:val="004C7FA9"/>
    <w:rsid w:val="004F055A"/>
    <w:rsid w:val="005008F9"/>
    <w:rsid w:val="00502355"/>
    <w:rsid w:val="0053317C"/>
    <w:rsid w:val="005369FF"/>
    <w:rsid w:val="0054059D"/>
    <w:rsid w:val="005625E5"/>
    <w:rsid w:val="005A3526"/>
    <w:rsid w:val="005D099D"/>
    <w:rsid w:val="00600CE7"/>
    <w:rsid w:val="0062327E"/>
    <w:rsid w:val="006347FB"/>
    <w:rsid w:val="006A6330"/>
    <w:rsid w:val="00715E2F"/>
    <w:rsid w:val="0076692A"/>
    <w:rsid w:val="00777561"/>
    <w:rsid w:val="0077793D"/>
    <w:rsid w:val="007978A4"/>
    <w:rsid w:val="007C5FB9"/>
    <w:rsid w:val="007D3FEB"/>
    <w:rsid w:val="007F0385"/>
    <w:rsid w:val="007F7DC1"/>
    <w:rsid w:val="00810B99"/>
    <w:rsid w:val="00822003"/>
    <w:rsid w:val="008257FE"/>
    <w:rsid w:val="00826978"/>
    <w:rsid w:val="008460D0"/>
    <w:rsid w:val="0085026C"/>
    <w:rsid w:val="008576B8"/>
    <w:rsid w:val="00872F24"/>
    <w:rsid w:val="008A0BA3"/>
    <w:rsid w:val="008A2434"/>
    <w:rsid w:val="008B7AEA"/>
    <w:rsid w:val="008C296C"/>
    <w:rsid w:val="008D7B6C"/>
    <w:rsid w:val="00910FE6"/>
    <w:rsid w:val="009810A6"/>
    <w:rsid w:val="009B792E"/>
    <w:rsid w:val="00A31C16"/>
    <w:rsid w:val="00A66E0A"/>
    <w:rsid w:val="00A91528"/>
    <w:rsid w:val="00AE7219"/>
    <w:rsid w:val="00B94FE1"/>
    <w:rsid w:val="00B97334"/>
    <w:rsid w:val="00BC19EA"/>
    <w:rsid w:val="00BC5EEB"/>
    <w:rsid w:val="00BD6873"/>
    <w:rsid w:val="00BD763A"/>
    <w:rsid w:val="00BF7CB6"/>
    <w:rsid w:val="00C14768"/>
    <w:rsid w:val="00C53EE0"/>
    <w:rsid w:val="00CC1E1D"/>
    <w:rsid w:val="00CC39C9"/>
    <w:rsid w:val="00D113D4"/>
    <w:rsid w:val="00D163FC"/>
    <w:rsid w:val="00D5231E"/>
    <w:rsid w:val="00D9475B"/>
    <w:rsid w:val="00DA7E87"/>
    <w:rsid w:val="00DF7BDC"/>
    <w:rsid w:val="00E43B11"/>
    <w:rsid w:val="00E61C74"/>
    <w:rsid w:val="00EB4500"/>
    <w:rsid w:val="00EB748B"/>
    <w:rsid w:val="00EC64D9"/>
    <w:rsid w:val="00EE1E61"/>
    <w:rsid w:val="00EE2E3A"/>
    <w:rsid w:val="00F12881"/>
    <w:rsid w:val="00F46BD0"/>
    <w:rsid w:val="00F67CD6"/>
    <w:rsid w:val="00F707E1"/>
    <w:rsid w:val="00F867A0"/>
    <w:rsid w:val="44E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1423</Words>
  <Characters>1431</Characters>
  <Lines>10</Lines>
  <Paragraphs>3</Paragraphs>
  <TotalTime>0</TotalTime>
  <ScaleCrop>false</ScaleCrop>
  <LinksUpToDate>false</LinksUpToDate>
  <CharactersWithSpaces>1444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2022-07-05T04:16:00Z</dcterms:created>
  <dc:creator>joe</dc:creator>
  <cp:lastModifiedBy>Administrator</cp:lastModifiedBy>
  <dcterms:modified xsi:type="dcterms:W3CDTF">2022-07-12T08:27:49Z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69FA030B926646BEA339EA2A0DDE1B0E</vt:lpwstr>
  </property>
</Properties>
</file>