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sz w:val="32"/>
          <w:szCs w:val="32"/>
        </w:rPr>
      </w:pPr>
      <w:r>
        <w:rPr>
          <w:rFonts w:hint="default" w:ascii="Times New Roman" w:hAnsi="Times New Roman" w:cs="Times New Roman" w:eastAsiaTheme="minorEastAsia"/>
          <w:b/>
          <w:bCs/>
          <w:sz w:val="32"/>
          <w:szCs w:val="32"/>
        </w:rPr>
        <w:t>《</w:t>
      </w:r>
      <w:r>
        <w:rPr>
          <w:rFonts w:hint="default" w:ascii="Times New Roman" w:hAnsi="Times New Roman" w:cs="Times New Roman" w:eastAsiaTheme="minorEastAsia"/>
          <w:b/>
          <w:bCs/>
          <w:sz w:val="32"/>
          <w:szCs w:val="32"/>
          <w:lang w:eastAsia="zh-CN"/>
        </w:rPr>
        <w:t>土地资源管理</w:t>
      </w:r>
      <w:r>
        <w:rPr>
          <w:rFonts w:hint="eastAsia" w:ascii="Times New Roman" w:hAnsi="Times New Roman" w:cs="Times New Roman" w:eastAsiaTheme="minorEastAsia"/>
          <w:b/>
          <w:bCs/>
          <w:sz w:val="32"/>
          <w:szCs w:val="32"/>
          <w:lang w:eastAsia="zh-CN"/>
        </w:rPr>
        <w:t>学</w:t>
      </w:r>
      <w:bookmarkStart w:id="0" w:name="_GoBack"/>
      <w:bookmarkEnd w:id="0"/>
      <w:r>
        <w:rPr>
          <w:rFonts w:hint="default" w:ascii="Times New Roman" w:hAnsi="Times New Roman" w:cs="Times New Roman" w:eastAsiaTheme="minorEastAsia"/>
          <w:b/>
          <w:bCs/>
          <w:sz w:val="32"/>
          <w:szCs w:val="32"/>
        </w:rPr>
        <w:t>》考试大纲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适用专业：</w:t>
      </w:r>
      <w:r>
        <w:rPr>
          <w:rFonts w:hint="default" w:ascii="Times New Roman" w:hAnsi="Times New Roman" w:cs="Times New Roman" w:eastAsiaTheme="minorEastAsia"/>
          <w:b/>
          <w:bCs/>
          <w:sz w:val="32"/>
          <w:szCs w:val="32"/>
          <w:lang w:eastAsia="zh-CN"/>
        </w:rPr>
        <w:t>土地资源管理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0"/>
          <w:szCs w:val="30"/>
        </w:rPr>
      </w:pPr>
      <w:r>
        <w:rPr>
          <w:rFonts w:hint="default" w:ascii="Times New Roman" w:hAnsi="Times New Roman" w:cs="Times New Roman" w:eastAsiaTheme="minorEastAsia"/>
          <w:b/>
          <w:bCs/>
          <w:sz w:val="32"/>
          <w:szCs w:val="32"/>
        </w:rPr>
        <w:t>一、考查目标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1.要求考生对土地管理学的基本概念有较深入的理解，能够系统地掌握土地管理学的主要内容及相互之间的联系，具有综合运用所学知识分析问题和解决问题的能力。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.观点正确，逻辑严谨，层次清晰，文字表达准确。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0"/>
          <w:szCs w:val="30"/>
        </w:rPr>
      </w:pPr>
      <w:r>
        <w:rPr>
          <w:rFonts w:hint="default" w:ascii="Times New Roman" w:hAnsi="Times New Roman" w:cs="Times New Roman" w:eastAsiaTheme="minorEastAsia"/>
          <w:b/>
          <w:bCs/>
          <w:sz w:val="32"/>
          <w:szCs w:val="32"/>
        </w:rPr>
        <w:t>二、考试形式</w:t>
      </w:r>
    </w:p>
    <w:p>
      <w:pPr>
        <w:pStyle w:val="5"/>
        <w:shd w:val="clear" w:color="auto" w:fill="FFFFFF"/>
        <w:spacing w:before="0" w:beforeAutospacing="0" w:after="0" w:afterAutospacing="0" w:line="345" w:lineRule="atLeast"/>
        <w:ind w:firstLine="602" w:firstLineChars="200"/>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1.考试时间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考试时间为180分钟。</w:t>
      </w:r>
    </w:p>
    <w:p>
      <w:pPr>
        <w:pStyle w:val="5"/>
        <w:shd w:val="clear" w:color="auto" w:fill="FFFFFF"/>
        <w:spacing w:before="0" w:beforeAutospacing="0" w:after="0" w:afterAutospacing="0" w:line="345" w:lineRule="atLeast"/>
        <w:ind w:firstLine="602" w:firstLineChars="200"/>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2.答题方式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答题方式为闭卷，笔试。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试卷由试题和答题纸组成。答案必须写在答题纸相应</w:t>
      </w:r>
      <w:r>
        <w:rPr>
          <w:rFonts w:hint="default" w:ascii="Times New Roman" w:hAnsi="Times New Roman" w:eastAsia="仿宋" w:cs="Times New Roman"/>
          <w:sz w:val="30"/>
          <w:szCs w:val="30"/>
          <w:lang w:val="en-US" w:eastAsia="zh-CN"/>
        </w:rPr>
        <w:t>的</w:t>
      </w:r>
      <w:r>
        <w:rPr>
          <w:rFonts w:hint="default" w:ascii="Times New Roman" w:hAnsi="Times New Roman" w:eastAsia="仿宋" w:cs="Times New Roman"/>
          <w:sz w:val="30"/>
          <w:szCs w:val="30"/>
        </w:rPr>
        <w:t>位置上。</w:t>
      </w:r>
    </w:p>
    <w:p>
      <w:pPr>
        <w:pStyle w:val="5"/>
        <w:shd w:val="clear" w:color="auto" w:fill="FFFFFF"/>
        <w:spacing w:before="0" w:beforeAutospacing="0" w:after="0" w:afterAutospacing="0" w:line="345" w:lineRule="atLeast"/>
        <w:ind w:firstLine="602" w:firstLineChars="200"/>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3.试卷满分及考查内容分数分配</w:t>
      </w:r>
    </w:p>
    <w:p>
      <w:pPr>
        <w:pStyle w:val="5"/>
        <w:shd w:val="clear" w:color="auto" w:fill="FFFFFF"/>
        <w:spacing w:before="0" w:beforeAutospacing="0" w:after="0" w:afterAutospacing="0" w:line="345" w:lineRule="atLeas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试卷满分为50分。论述题50分。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0"/>
          <w:szCs w:val="30"/>
        </w:rPr>
      </w:pPr>
      <w:r>
        <w:rPr>
          <w:rFonts w:hint="default" w:ascii="Times New Roman" w:hAnsi="Times New Roman" w:cs="Times New Roman" w:eastAsiaTheme="minorEastAsia"/>
          <w:b/>
          <w:bCs/>
          <w:sz w:val="32"/>
          <w:szCs w:val="32"/>
        </w:rPr>
        <w:t>三、试卷结构</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第一部分</w:t>
      </w:r>
      <w:r>
        <w:rPr>
          <w:rFonts w:hint="default" w:ascii="Times New Roman" w:hAnsi="Times New Roman" w:eastAsia="仿宋" w:cs="Times New Roman"/>
          <w:b/>
          <w:bCs/>
          <w:sz w:val="30"/>
          <w:szCs w:val="30"/>
          <w:lang w:val="en-US" w:eastAsia="zh-CN"/>
        </w:rPr>
        <w:t xml:space="preserve"> </w:t>
      </w:r>
      <w:r>
        <w:rPr>
          <w:rFonts w:hint="eastAsia" w:ascii="Times New Roman" w:hAnsi="Times New Roman" w:eastAsia="仿宋" w:cs="Times New Roman"/>
          <w:b/>
          <w:bCs/>
          <w:sz w:val="30"/>
          <w:szCs w:val="30"/>
          <w:lang w:eastAsia="zh-CN"/>
        </w:rPr>
        <w:t>土地资源管理</w:t>
      </w:r>
      <w:r>
        <w:rPr>
          <w:rFonts w:hint="default" w:ascii="Times New Roman" w:hAnsi="Times New Roman" w:eastAsia="仿宋" w:cs="Times New Roman"/>
          <w:b/>
          <w:bCs/>
          <w:sz w:val="30"/>
          <w:szCs w:val="30"/>
        </w:rPr>
        <w:t>基本理论</w:t>
      </w:r>
      <w:r>
        <w:rPr>
          <w:rFonts w:hint="default" w:ascii="Times New Roman" w:hAnsi="Times New Roman" w:eastAsia="仿宋" w:cs="Times New Roman"/>
          <w:b/>
          <w:sz w:val="30"/>
          <w:szCs w:val="30"/>
        </w:rPr>
        <w:t>（约占</w:t>
      </w:r>
      <w:r>
        <w:rPr>
          <w:rFonts w:hint="default" w:ascii="Times New Roman" w:hAnsi="Times New Roman" w:eastAsia="仿宋" w:cs="Times New Roman"/>
          <w:b/>
          <w:sz w:val="30"/>
          <w:szCs w:val="30"/>
          <w:lang w:val="en-US" w:eastAsia="zh-CN"/>
        </w:rPr>
        <w:t>1</w:t>
      </w:r>
      <w:r>
        <w:rPr>
          <w:rFonts w:hint="default" w:ascii="Times New Roman" w:hAnsi="Times New Roman" w:eastAsia="仿宋" w:cs="Times New Roman"/>
          <w:b/>
          <w:sz w:val="30"/>
          <w:szCs w:val="30"/>
        </w:rPr>
        <w:t>0分）</w:t>
      </w:r>
    </w:p>
    <w:p>
      <w:pPr>
        <w:pStyle w:val="5"/>
        <w:shd w:val="clear" w:color="auto" w:fill="FFFFFF"/>
        <w:spacing w:before="0" w:beforeAutospacing="0" w:after="0" w:afterAutospacing="0" w:line="345" w:lineRule="atLeas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1、土地的概念，土地资源和土地资产的联系和区别及对土地资源和土地资产的科学管理。</w:t>
      </w:r>
    </w:p>
    <w:p>
      <w:pPr>
        <w:pStyle w:val="5"/>
        <w:shd w:val="clear" w:color="auto" w:fill="FFFFFF"/>
        <w:spacing w:before="0" w:beforeAutospacing="0" w:after="0" w:afterAutospacing="0" w:line="345" w:lineRule="atLeas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2、土地的功能与基本特点。</w:t>
      </w:r>
    </w:p>
    <w:p>
      <w:pPr>
        <w:pStyle w:val="5"/>
        <w:shd w:val="clear" w:color="auto" w:fill="FFFFFF"/>
        <w:spacing w:before="0" w:beforeAutospacing="0" w:after="0" w:afterAutospacing="0" w:line="345" w:lineRule="atLeas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3、土地资源可持续利用及实施土地资源可持续利用的思想。</w:t>
      </w:r>
    </w:p>
    <w:p>
      <w:pPr>
        <w:pStyle w:val="5"/>
        <w:shd w:val="clear" w:color="auto" w:fill="FFFFFF"/>
        <w:spacing w:before="0" w:beforeAutospacing="0" w:after="0" w:afterAutospacing="0" w:line="345" w:lineRule="atLeas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4、土地管理的含义及土地管理学的研究对象、任务和内容。</w:t>
      </w:r>
    </w:p>
    <w:p>
      <w:pPr>
        <w:pStyle w:val="5"/>
        <w:shd w:val="clear" w:color="auto" w:fill="FFFFFF"/>
        <w:spacing w:before="0" w:beforeAutospacing="0" w:after="0" w:afterAutospacing="0" w:line="345" w:lineRule="atLeast"/>
        <w:ind w:firstLine="600" w:firstLineChars="200"/>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lang w:val="en-US" w:eastAsia="zh-CN"/>
        </w:rPr>
        <w:t>、土地管理的主体及政府在土地管理中的行为模式和提高政府土地管理效率的对策。</w:t>
      </w:r>
    </w:p>
    <w:p>
      <w:pPr>
        <w:pStyle w:val="5"/>
        <w:shd w:val="clear" w:color="auto" w:fill="FFFFFF"/>
        <w:spacing w:before="0" w:beforeAutospacing="0" w:after="0" w:afterAutospacing="0" w:line="345" w:lineRule="atLeast"/>
        <w:ind w:firstLine="600" w:firstLineChars="200"/>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6</w:t>
      </w:r>
      <w:r>
        <w:rPr>
          <w:rFonts w:hint="default" w:ascii="Times New Roman" w:hAnsi="Times New Roman" w:eastAsia="仿宋" w:cs="Times New Roman"/>
          <w:sz w:val="30"/>
          <w:szCs w:val="30"/>
          <w:lang w:val="en-US" w:eastAsia="zh-CN"/>
        </w:rPr>
        <w:t>、土地管理宏观、中观和微观目标的正确设置。</w:t>
      </w:r>
    </w:p>
    <w:p>
      <w:pPr>
        <w:pStyle w:val="5"/>
        <w:shd w:val="clear" w:color="auto" w:fill="FFFFFF"/>
        <w:spacing w:before="0" w:beforeAutospacing="0" w:after="0" w:afterAutospacing="0" w:line="345" w:lineRule="atLeast"/>
        <w:ind w:firstLine="600" w:firstLineChars="200"/>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7</w:t>
      </w:r>
      <w:r>
        <w:rPr>
          <w:rFonts w:hint="default" w:ascii="Times New Roman" w:hAnsi="Times New Roman" w:eastAsia="仿宋" w:cs="Times New Roman"/>
          <w:sz w:val="30"/>
          <w:szCs w:val="30"/>
          <w:lang w:val="en-US" w:eastAsia="zh-CN"/>
        </w:rPr>
        <w:t>、对土地管理过程展开有效监督和调控。</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rPr>
        <w:t>第二部分</w:t>
      </w:r>
      <w:r>
        <w:rPr>
          <w:rFonts w:hint="default" w:ascii="Times New Roman" w:hAnsi="Times New Roman" w:eastAsia="仿宋" w:cs="Times New Roman"/>
          <w:b/>
          <w:bCs/>
          <w:sz w:val="30"/>
          <w:szCs w:val="30"/>
          <w:lang w:val="en-US" w:eastAsia="zh-CN"/>
        </w:rPr>
        <w:t xml:space="preserve"> </w:t>
      </w:r>
      <w:r>
        <w:rPr>
          <w:rFonts w:hint="eastAsia" w:ascii="Times New Roman" w:hAnsi="Times New Roman" w:eastAsia="仿宋" w:cs="Times New Roman"/>
          <w:b/>
          <w:bCs/>
          <w:sz w:val="30"/>
          <w:szCs w:val="30"/>
          <w:lang w:val="en-US" w:eastAsia="zh-CN"/>
        </w:rPr>
        <w:t>地籍管理</w:t>
      </w:r>
      <w:r>
        <w:rPr>
          <w:rFonts w:hint="default" w:ascii="Times New Roman" w:hAnsi="Times New Roman" w:eastAsia="仿宋" w:cs="Times New Roman"/>
          <w:b/>
          <w:sz w:val="30"/>
          <w:szCs w:val="30"/>
        </w:rPr>
        <w:t>（约占</w:t>
      </w:r>
      <w:r>
        <w:rPr>
          <w:rFonts w:hint="default" w:ascii="Times New Roman" w:hAnsi="Times New Roman" w:eastAsia="仿宋" w:cs="Times New Roman"/>
          <w:b/>
          <w:sz w:val="30"/>
          <w:szCs w:val="30"/>
          <w:lang w:val="en-US" w:eastAsia="zh-CN"/>
        </w:rPr>
        <w:t>1</w:t>
      </w:r>
      <w:r>
        <w:rPr>
          <w:rFonts w:hint="default" w:ascii="Times New Roman" w:hAnsi="Times New Roman" w:eastAsia="仿宋" w:cs="Times New Roman"/>
          <w:b/>
          <w:sz w:val="30"/>
          <w:szCs w:val="30"/>
        </w:rPr>
        <w:t>0分）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1、地籍与地籍管理的概念、地籍管理的内容与原则。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2、土地调查的概念及全国土地调查的内容。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3、耕地后备资源调查、分类及含义。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4、土地登记及土地登记原则、内容、程序。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5、建立不动产登记制度的意义及不动产登记的主要内容。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6、土地统计与土地统计分析、土地统计区别于其他统计的重要特点。</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 w:cs="Times New Roman"/>
          <w:b/>
          <w:sz w:val="30"/>
          <w:szCs w:val="30"/>
        </w:rPr>
      </w:pPr>
      <w:r>
        <w:rPr>
          <w:rFonts w:hint="default" w:ascii="Times New Roman" w:hAnsi="Times New Roman" w:eastAsia="仿宋" w:cs="Times New Roman"/>
          <w:b/>
          <w:bCs/>
          <w:sz w:val="30"/>
          <w:szCs w:val="30"/>
        </w:rPr>
        <w:t>第三部分</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b/>
          <w:bCs/>
          <w:sz w:val="30"/>
          <w:szCs w:val="30"/>
          <w:lang w:val="en-US" w:eastAsia="zh-CN"/>
        </w:rPr>
        <w:t>土地权属管理</w:t>
      </w:r>
      <w:r>
        <w:rPr>
          <w:rFonts w:hint="default" w:ascii="Times New Roman" w:hAnsi="Times New Roman" w:eastAsia="仿宋" w:cs="Times New Roman"/>
          <w:b/>
          <w:sz w:val="30"/>
          <w:szCs w:val="30"/>
        </w:rPr>
        <w:t>（约占</w:t>
      </w:r>
      <w:r>
        <w:rPr>
          <w:rFonts w:hint="default" w:ascii="Times New Roman" w:hAnsi="Times New Roman" w:eastAsia="仿宋" w:cs="Times New Roman"/>
          <w:b/>
          <w:sz w:val="30"/>
          <w:szCs w:val="30"/>
          <w:lang w:val="en-US" w:eastAsia="zh-CN"/>
        </w:rPr>
        <w:t>1</w:t>
      </w:r>
      <w:r>
        <w:rPr>
          <w:rFonts w:hint="default" w:ascii="Times New Roman" w:hAnsi="Times New Roman" w:eastAsia="仿宋" w:cs="Times New Roman"/>
          <w:b/>
          <w:sz w:val="30"/>
          <w:szCs w:val="30"/>
        </w:rPr>
        <w:t>0分）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1、土地所有制、土地所有权及物权的含义。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2、土地权属管理的任务和内容。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3、我国国有土地使用权流转管理。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4、农民集体土地所有权、使用权的确认与流转管理。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5、土地征收及相关内容。</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 w:cs="Times New Roman"/>
          <w:b/>
          <w:sz w:val="30"/>
          <w:szCs w:val="30"/>
        </w:rPr>
      </w:pPr>
      <w:r>
        <w:rPr>
          <w:rFonts w:hint="default" w:ascii="Times New Roman" w:hAnsi="Times New Roman" w:eastAsia="仿宋" w:cs="Times New Roman"/>
          <w:b/>
          <w:bCs/>
          <w:sz w:val="30"/>
          <w:szCs w:val="30"/>
        </w:rPr>
        <w:t>第四部分</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b/>
          <w:bCs/>
          <w:sz w:val="30"/>
          <w:szCs w:val="30"/>
          <w:lang w:val="en-US" w:eastAsia="zh-CN"/>
        </w:rPr>
        <w:t>土地利用管理</w:t>
      </w:r>
      <w:r>
        <w:rPr>
          <w:rFonts w:hint="default" w:ascii="Times New Roman" w:hAnsi="Times New Roman" w:eastAsia="仿宋" w:cs="Times New Roman"/>
          <w:b/>
          <w:sz w:val="30"/>
          <w:szCs w:val="30"/>
        </w:rPr>
        <w:t>（约占</w:t>
      </w:r>
      <w:r>
        <w:rPr>
          <w:rFonts w:hint="default" w:ascii="Times New Roman" w:hAnsi="Times New Roman" w:eastAsia="仿宋" w:cs="Times New Roman"/>
          <w:b/>
          <w:sz w:val="30"/>
          <w:szCs w:val="30"/>
          <w:lang w:val="en-US" w:eastAsia="zh-CN"/>
        </w:rPr>
        <w:t>1</w:t>
      </w:r>
      <w:r>
        <w:rPr>
          <w:rFonts w:hint="default" w:ascii="Times New Roman" w:hAnsi="Times New Roman" w:eastAsia="仿宋" w:cs="Times New Roman"/>
          <w:b/>
          <w:sz w:val="30"/>
          <w:szCs w:val="30"/>
        </w:rPr>
        <w:t>0分）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1、土地利用与土地利用管理的概念。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2、土地利用管理的主要内容。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3、农用地利用管理的重点、耕地利用管理内容体系、林地利用管理和牧草地利用管理的措施。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4、建设用地利用管理的重点。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5、土地生态规划的主要内容。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6、实施土地利用管理的主要手段。</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仿宋" w:cs="Times New Roman"/>
          <w:b/>
          <w:sz w:val="30"/>
          <w:szCs w:val="30"/>
        </w:rPr>
      </w:pPr>
      <w:r>
        <w:rPr>
          <w:rFonts w:hint="default" w:ascii="Times New Roman" w:hAnsi="Times New Roman" w:eastAsia="仿宋" w:cs="Times New Roman"/>
          <w:b/>
          <w:bCs/>
          <w:sz w:val="30"/>
          <w:szCs w:val="30"/>
        </w:rPr>
        <w:t>第五部分</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b/>
          <w:bCs/>
          <w:sz w:val="30"/>
          <w:szCs w:val="30"/>
          <w:lang w:val="en-US" w:eastAsia="zh-CN"/>
        </w:rPr>
        <w:t>土地市场管理</w:t>
      </w:r>
      <w:r>
        <w:rPr>
          <w:rFonts w:hint="default" w:ascii="Times New Roman" w:hAnsi="Times New Roman" w:eastAsia="仿宋" w:cs="Times New Roman"/>
          <w:b/>
          <w:sz w:val="30"/>
          <w:szCs w:val="30"/>
        </w:rPr>
        <w:t>（约占</w:t>
      </w:r>
      <w:r>
        <w:rPr>
          <w:rFonts w:hint="default" w:ascii="Times New Roman" w:hAnsi="Times New Roman" w:eastAsia="仿宋" w:cs="Times New Roman"/>
          <w:b/>
          <w:sz w:val="30"/>
          <w:szCs w:val="30"/>
          <w:lang w:val="en-US" w:eastAsia="zh-CN"/>
        </w:rPr>
        <w:t>1</w:t>
      </w:r>
      <w:r>
        <w:rPr>
          <w:rFonts w:hint="default" w:ascii="Times New Roman" w:hAnsi="Times New Roman" w:eastAsia="仿宋" w:cs="Times New Roman"/>
          <w:b/>
          <w:sz w:val="30"/>
          <w:szCs w:val="30"/>
        </w:rPr>
        <w:t>0分）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1、土地市场及土地市场的作用。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2、土地市场管理的重要性及土地市场管理的内容。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3、城市土地市场供需调控。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4、城市土地市场价格管理。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5、农村土地市场管理。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0"/>
          <w:szCs w:val="30"/>
        </w:rPr>
      </w:pPr>
      <w:r>
        <w:rPr>
          <w:rFonts w:hint="default" w:ascii="Times New Roman" w:hAnsi="Times New Roman" w:cs="Times New Roman" w:eastAsiaTheme="minorEastAsia"/>
          <w:b/>
          <w:bCs/>
          <w:sz w:val="32"/>
          <w:szCs w:val="32"/>
        </w:rPr>
        <w:t>四、试卷题型结构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论述题5小题，每小题10分，共50分。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0"/>
          <w:szCs w:val="30"/>
        </w:rPr>
      </w:pPr>
      <w:r>
        <w:rPr>
          <w:rFonts w:hint="default" w:ascii="Times New Roman" w:hAnsi="Times New Roman" w:cs="Times New Roman" w:eastAsiaTheme="minorEastAsia"/>
          <w:b/>
          <w:bCs/>
          <w:sz w:val="32"/>
          <w:szCs w:val="32"/>
        </w:rPr>
        <w:t>五、参考书目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eastAsia" w:ascii="Times New Roman" w:hAnsi="Times New Roman" w:eastAsia="仿宋" w:cs="Times New Roman"/>
          <w:sz w:val="30"/>
          <w:szCs w:val="30"/>
          <w:lang w:eastAsia="zh-CN"/>
        </w:rPr>
        <w:t>土地管理学总论</w:t>
      </w:r>
      <w:r>
        <w:rPr>
          <w:rFonts w:hint="default" w:ascii="Times New Roman" w:hAnsi="Times New Roman" w:eastAsia="仿宋" w:cs="Times New Roman"/>
          <w:sz w:val="30"/>
          <w:szCs w:val="30"/>
        </w:rPr>
        <w:t>》</w:t>
      </w:r>
      <w:r>
        <w:rPr>
          <w:rFonts w:hint="eastAsia" w:ascii="Times New Roman" w:hAnsi="Times New Roman" w:eastAsia="仿宋" w:cs="Times New Roman"/>
          <w:sz w:val="30"/>
          <w:szCs w:val="30"/>
          <w:lang w:eastAsia="zh-CN"/>
        </w:rPr>
        <w:t>（第</w:t>
      </w:r>
      <w:r>
        <w:rPr>
          <w:rFonts w:hint="eastAsia" w:ascii="Times New Roman" w:hAnsi="Times New Roman" w:eastAsia="仿宋" w:cs="Times New Roman"/>
          <w:sz w:val="30"/>
          <w:szCs w:val="30"/>
          <w:lang w:val="en-US" w:eastAsia="zh-CN"/>
        </w:rPr>
        <w:t>6</w:t>
      </w:r>
      <w:r>
        <w:rPr>
          <w:rFonts w:hint="eastAsia" w:ascii="Times New Roman" w:hAnsi="Times New Roman" w:eastAsia="仿宋" w:cs="Times New Roman"/>
          <w:sz w:val="30"/>
          <w:szCs w:val="30"/>
          <w:lang w:eastAsia="zh-CN"/>
        </w:rPr>
        <w:t>版）</w:t>
      </w:r>
      <w:r>
        <w:rPr>
          <w:rFonts w:hint="default" w:ascii="Times New Roman" w:hAnsi="Times New Roman" w:eastAsia="仿宋" w:cs="Times New Roman"/>
          <w:sz w:val="30"/>
          <w:szCs w:val="30"/>
        </w:rPr>
        <w:t>，</w:t>
      </w:r>
      <w:r>
        <w:rPr>
          <w:rFonts w:hint="eastAsia" w:ascii="Times New Roman" w:hAnsi="Times New Roman" w:eastAsia="仿宋" w:cs="Times New Roman"/>
          <w:sz w:val="30"/>
          <w:szCs w:val="30"/>
          <w:lang w:eastAsia="zh-CN"/>
        </w:rPr>
        <w:t>陆红生</w:t>
      </w:r>
      <w:r>
        <w:rPr>
          <w:rFonts w:hint="default" w:ascii="Times New Roman" w:hAnsi="Times New Roman" w:eastAsia="仿宋" w:cs="Times New Roman"/>
          <w:sz w:val="30"/>
          <w:szCs w:val="30"/>
        </w:rPr>
        <w:t>主编，</w:t>
      </w:r>
      <w:r>
        <w:rPr>
          <w:rFonts w:hint="eastAsia" w:ascii="Times New Roman" w:hAnsi="Times New Roman" w:eastAsia="仿宋" w:cs="Times New Roman"/>
          <w:sz w:val="30"/>
          <w:szCs w:val="30"/>
          <w:lang w:eastAsia="zh-CN"/>
        </w:rPr>
        <w:t>中国农业</w:t>
      </w:r>
      <w:r>
        <w:rPr>
          <w:rFonts w:hint="default" w:ascii="Times New Roman" w:hAnsi="Times New Roman" w:eastAsia="仿宋" w:cs="Times New Roman"/>
          <w:sz w:val="30"/>
          <w:szCs w:val="30"/>
        </w:rPr>
        <w:t>出版社201</w:t>
      </w:r>
      <w:r>
        <w:rPr>
          <w:rFonts w:hint="eastAsia"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rPr>
        <w:t>年版。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2.《</w:t>
      </w:r>
      <w:r>
        <w:rPr>
          <w:rFonts w:hint="eastAsia" w:ascii="Times New Roman" w:hAnsi="Times New Roman" w:eastAsia="仿宋" w:cs="Times New Roman"/>
          <w:sz w:val="30"/>
          <w:szCs w:val="30"/>
          <w:highlight w:val="none"/>
          <w:lang w:eastAsia="zh-CN"/>
        </w:rPr>
        <w:t>土地资源管理</w:t>
      </w:r>
      <w:r>
        <w:rPr>
          <w:rFonts w:hint="default" w:ascii="Times New Roman" w:hAnsi="Times New Roman" w:eastAsia="仿宋" w:cs="Times New Roman"/>
          <w:sz w:val="30"/>
          <w:szCs w:val="30"/>
          <w:highlight w:val="none"/>
        </w:rPr>
        <w:t>学》</w:t>
      </w:r>
      <w:r>
        <w:rPr>
          <w:rFonts w:hint="eastAsia" w:ascii="Times New Roman" w:hAnsi="Times New Roman" w:eastAsia="仿宋" w:cs="Times New Roman"/>
          <w:sz w:val="30"/>
          <w:szCs w:val="30"/>
          <w:highlight w:val="none"/>
          <w:lang w:eastAsia="zh-CN"/>
        </w:rPr>
        <w:t>（第</w:t>
      </w:r>
      <w:r>
        <w:rPr>
          <w:rFonts w:hint="eastAsia" w:ascii="Times New Roman" w:hAnsi="Times New Roman" w:eastAsia="仿宋" w:cs="Times New Roman"/>
          <w:sz w:val="30"/>
          <w:szCs w:val="30"/>
          <w:highlight w:val="none"/>
          <w:lang w:val="en-US" w:eastAsia="zh-CN"/>
        </w:rPr>
        <w:t>2</w:t>
      </w:r>
      <w:r>
        <w:rPr>
          <w:rFonts w:hint="eastAsia" w:ascii="Times New Roman" w:hAnsi="Times New Roman" w:eastAsia="仿宋" w:cs="Times New Roman"/>
          <w:sz w:val="30"/>
          <w:szCs w:val="30"/>
          <w:highlight w:val="none"/>
          <w:lang w:eastAsia="zh-CN"/>
        </w:rPr>
        <w:t>版）</w:t>
      </w:r>
      <w:r>
        <w:rPr>
          <w:rFonts w:hint="default" w:ascii="Times New Roman" w:hAnsi="Times New Roman" w:eastAsia="仿宋" w:cs="Times New Roman"/>
          <w:sz w:val="30"/>
          <w:szCs w:val="30"/>
          <w:highlight w:val="none"/>
        </w:rPr>
        <w:t>，</w:t>
      </w:r>
      <w:r>
        <w:rPr>
          <w:rFonts w:hint="eastAsia" w:ascii="Times New Roman" w:hAnsi="Times New Roman" w:eastAsia="仿宋" w:cs="Times New Roman"/>
          <w:sz w:val="30"/>
          <w:szCs w:val="30"/>
          <w:highlight w:val="none"/>
          <w:lang w:eastAsia="zh-CN"/>
        </w:rPr>
        <w:t>王万茂</w:t>
      </w:r>
      <w:r>
        <w:rPr>
          <w:rFonts w:hint="default" w:ascii="Times New Roman" w:hAnsi="Times New Roman" w:eastAsia="仿宋" w:cs="Times New Roman"/>
          <w:sz w:val="30"/>
          <w:szCs w:val="30"/>
          <w:highlight w:val="none"/>
        </w:rPr>
        <w:t>主编，高等教育出版社201</w:t>
      </w:r>
      <w:r>
        <w:rPr>
          <w:rFonts w:hint="eastAsia" w:ascii="Times New Roman" w:hAnsi="Times New Roman" w:eastAsia="仿宋" w:cs="Times New Roman"/>
          <w:sz w:val="30"/>
          <w:szCs w:val="30"/>
          <w:highlight w:val="none"/>
          <w:lang w:val="en-US" w:eastAsia="zh-CN"/>
        </w:rPr>
        <w:t>0</w:t>
      </w:r>
      <w:r>
        <w:rPr>
          <w:rFonts w:hint="default" w:ascii="Times New Roman" w:hAnsi="Times New Roman" w:eastAsia="仿宋" w:cs="Times New Roman"/>
          <w:sz w:val="30"/>
          <w:szCs w:val="30"/>
          <w:highlight w:val="none"/>
        </w:rPr>
        <w:t>年版。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w:t>
      </w:r>
      <w:r>
        <w:rPr>
          <w:rFonts w:hint="eastAsia" w:ascii="Times New Roman" w:hAnsi="Times New Roman" w:eastAsia="仿宋" w:cs="Times New Roman"/>
          <w:sz w:val="30"/>
          <w:szCs w:val="30"/>
          <w:highlight w:val="none"/>
          <w:lang w:eastAsia="zh-CN"/>
        </w:rPr>
        <w:t>土地资源管理</w:t>
      </w:r>
      <w:r>
        <w:rPr>
          <w:rFonts w:hint="default" w:ascii="Times New Roman" w:hAnsi="Times New Roman" w:eastAsia="仿宋" w:cs="Times New Roman"/>
          <w:sz w:val="30"/>
          <w:szCs w:val="30"/>
          <w:highlight w:val="none"/>
        </w:rPr>
        <w:t>学》</w:t>
      </w:r>
      <w:r>
        <w:rPr>
          <w:rFonts w:hint="eastAsia" w:ascii="Times New Roman" w:hAnsi="Times New Roman" w:eastAsia="仿宋" w:cs="Times New Roman"/>
          <w:sz w:val="30"/>
          <w:szCs w:val="30"/>
          <w:highlight w:val="none"/>
          <w:lang w:eastAsia="zh-CN"/>
        </w:rPr>
        <w:t>（第</w:t>
      </w:r>
      <w:r>
        <w:rPr>
          <w:rFonts w:hint="eastAsia" w:ascii="Times New Roman" w:hAnsi="Times New Roman" w:eastAsia="仿宋" w:cs="Times New Roman"/>
          <w:sz w:val="30"/>
          <w:szCs w:val="30"/>
          <w:highlight w:val="none"/>
          <w:lang w:val="en-US" w:eastAsia="zh-CN"/>
        </w:rPr>
        <w:t>2</w:t>
      </w:r>
      <w:r>
        <w:rPr>
          <w:rFonts w:hint="eastAsia" w:ascii="Times New Roman" w:hAnsi="Times New Roman" w:eastAsia="仿宋" w:cs="Times New Roman"/>
          <w:sz w:val="30"/>
          <w:szCs w:val="30"/>
          <w:highlight w:val="none"/>
          <w:lang w:eastAsia="zh-CN"/>
        </w:rPr>
        <w:t>版）</w:t>
      </w:r>
      <w:r>
        <w:rPr>
          <w:rFonts w:hint="default" w:ascii="Times New Roman" w:hAnsi="Times New Roman" w:eastAsia="仿宋" w:cs="Times New Roman"/>
          <w:sz w:val="30"/>
          <w:szCs w:val="30"/>
          <w:highlight w:val="none"/>
        </w:rPr>
        <w:t>，</w:t>
      </w:r>
      <w:r>
        <w:rPr>
          <w:rFonts w:hint="eastAsia" w:ascii="Times New Roman" w:hAnsi="Times New Roman" w:eastAsia="仿宋" w:cs="Times New Roman"/>
          <w:sz w:val="30"/>
          <w:szCs w:val="30"/>
          <w:highlight w:val="none"/>
          <w:lang w:eastAsia="zh-CN"/>
        </w:rPr>
        <w:t>张正峰</w:t>
      </w:r>
      <w:r>
        <w:rPr>
          <w:rFonts w:hint="default" w:ascii="Times New Roman" w:hAnsi="Times New Roman" w:eastAsia="仿宋" w:cs="Times New Roman"/>
          <w:sz w:val="30"/>
          <w:szCs w:val="30"/>
          <w:highlight w:val="none"/>
        </w:rPr>
        <w:t>主编，</w:t>
      </w:r>
      <w:r>
        <w:rPr>
          <w:rFonts w:hint="eastAsia" w:ascii="Times New Roman" w:hAnsi="Times New Roman" w:eastAsia="仿宋" w:cs="Times New Roman"/>
          <w:sz w:val="30"/>
          <w:szCs w:val="30"/>
          <w:highlight w:val="none"/>
          <w:lang w:eastAsia="zh-CN"/>
        </w:rPr>
        <w:t>中国人民大学</w:t>
      </w:r>
      <w:r>
        <w:rPr>
          <w:rFonts w:hint="default" w:ascii="Times New Roman" w:hAnsi="Times New Roman" w:eastAsia="仿宋" w:cs="Times New Roman"/>
          <w:sz w:val="30"/>
          <w:szCs w:val="30"/>
          <w:highlight w:val="none"/>
        </w:rPr>
        <w:t>出版社20</w:t>
      </w:r>
      <w:r>
        <w:rPr>
          <w:rFonts w:hint="eastAsia"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年版。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zZhOGFhYTcwMWJhZTA4M2YxMzBkNDdkOTY0MjQifQ=="/>
  </w:docVars>
  <w:rsids>
    <w:rsidRoot w:val="7F426AD3"/>
    <w:rsid w:val="0034583D"/>
    <w:rsid w:val="007E0C7F"/>
    <w:rsid w:val="009A75D4"/>
    <w:rsid w:val="00DF6AF5"/>
    <w:rsid w:val="051E5540"/>
    <w:rsid w:val="065D26A7"/>
    <w:rsid w:val="08F3497A"/>
    <w:rsid w:val="0E14336B"/>
    <w:rsid w:val="0F2B2ADA"/>
    <w:rsid w:val="10714FBD"/>
    <w:rsid w:val="109D288D"/>
    <w:rsid w:val="15BA59C6"/>
    <w:rsid w:val="189C1D14"/>
    <w:rsid w:val="1F9C02A5"/>
    <w:rsid w:val="206E5138"/>
    <w:rsid w:val="20FC78F5"/>
    <w:rsid w:val="23881F7D"/>
    <w:rsid w:val="2E3F4C79"/>
    <w:rsid w:val="2F4A7AD5"/>
    <w:rsid w:val="31386B6F"/>
    <w:rsid w:val="316B3473"/>
    <w:rsid w:val="31922F47"/>
    <w:rsid w:val="334B1945"/>
    <w:rsid w:val="34AB18F4"/>
    <w:rsid w:val="377651CC"/>
    <w:rsid w:val="38516083"/>
    <w:rsid w:val="397B4498"/>
    <w:rsid w:val="3A2B26BC"/>
    <w:rsid w:val="3D4E552D"/>
    <w:rsid w:val="3E6A2E0D"/>
    <w:rsid w:val="425E5AE9"/>
    <w:rsid w:val="4314322F"/>
    <w:rsid w:val="43BA1EF2"/>
    <w:rsid w:val="4820731E"/>
    <w:rsid w:val="490624DD"/>
    <w:rsid w:val="4A827224"/>
    <w:rsid w:val="4ED04EDF"/>
    <w:rsid w:val="52072DF9"/>
    <w:rsid w:val="53851461"/>
    <w:rsid w:val="53CE3FDD"/>
    <w:rsid w:val="55BA3D87"/>
    <w:rsid w:val="55C31F64"/>
    <w:rsid w:val="594D1F5D"/>
    <w:rsid w:val="5B424469"/>
    <w:rsid w:val="5B8C70E6"/>
    <w:rsid w:val="5C0022F9"/>
    <w:rsid w:val="5D971568"/>
    <w:rsid w:val="5DC73085"/>
    <w:rsid w:val="61987BA5"/>
    <w:rsid w:val="62452DC1"/>
    <w:rsid w:val="62D47AE3"/>
    <w:rsid w:val="665D7663"/>
    <w:rsid w:val="67FB4D0A"/>
    <w:rsid w:val="69641CAF"/>
    <w:rsid w:val="6AFB3FDC"/>
    <w:rsid w:val="6D535020"/>
    <w:rsid w:val="7A17483F"/>
    <w:rsid w:val="7B246FAC"/>
    <w:rsid w:val="7DBF71CC"/>
    <w:rsid w:val="7EE051D4"/>
    <w:rsid w:val="7F42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99"/>
    <w:rPr>
      <w:rFonts w:cs="Times New Roman"/>
      <w:b/>
      <w:bCs/>
    </w:rPr>
  </w:style>
  <w:style w:type="character" w:styleId="10">
    <w:name w:val="Hyperlink"/>
    <w:basedOn w:val="8"/>
    <w:uiPriority w:val="0"/>
    <w:rPr>
      <w:color w:val="0000FF"/>
      <w:u w:val="single"/>
    </w:rPr>
  </w:style>
  <w:style w:type="character" w:customStyle="1" w:styleId="11">
    <w:name w:val="页眉 字符"/>
    <w:basedOn w:val="8"/>
    <w:link w:val="4"/>
    <w:qFormat/>
    <w:uiPriority w:val="0"/>
    <w:rPr>
      <w:rFonts w:ascii="Calibri" w:hAnsi="Calibri"/>
      <w:kern w:val="2"/>
      <w:sz w:val="18"/>
      <w:szCs w:val="18"/>
    </w:rPr>
  </w:style>
  <w:style w:type="character" w:customStyle="1" w:styleId="12">
    <w:name w:val="页脚 字符"/>
    <w:basedOn w:val="8"/>
    <w:link w:val="3"/>
    <w:qFormat/>
    <w:uiPriority w:val="0"/>
    <w:rPr>
      <w:rFonts w:ascii="Calibri" w:hAnsi="Calibri"/>
      <w:kern w:val="2"/>
      <w:sz w:val="18"/>
      <w:szCs w:val="18"/>
    </w:rPr>
  </w:style>
  <w:style w:type="character" w:customStyle="1" w:styleId="13">
    <w:name w:val="批注框文本 字符"/>
    <w:basedOn w:val="8"/>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3</Pages>
  <Words>1040</Words>
  <Characters>1068</Characters>
  <Lines>5</Lines>
  <Paragraphs>1</Paragraphs>
  <TotalTime>1</TotalTime>
  <ScaleCrop>false</ScaleCrop>
  <LinksUpToDate>false</LinksUpToDate>
  <CharactersWithSpaces>1074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2018-09-04T10:24:00Z</dcterms:created>
  <dc:creator>、Do better me ❤。</dc:creator>
  <cp:lastModifiedBy>宜居乡村</cp:lastModifiedBy>
  <cp:lastPrinted>2018-09-19T07:17:00Z</cp:lastPrinted>
  <dcterms:modified xsi:type="dcterms:W3CDTF">2023-09-02T10:19:58Z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91E86A290D9A49E2867F333F840AA045</vt:lpwstr>
  </property>
</Properties>
</file>