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6">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科目代码：626</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科目名称：高等代数二</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适用专业：统计学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w:t>
      </w:r>
      <w:r>
        <w:rPr>
          <w:rFonts w:ascii="楷体_GB2312" w:hAnsi="宋体" w:eastAsia="楷体_GB2312"/>
          <w:sz w:val="30"/>
          <w:szCs w:val="30"/>
        </w:rPr>
        <w:t>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《高等代数二》考试大纲</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一、课程简介</w:t>
      </w:r>
    </w:p>
    <w:p>
      <w:pPr>
        <w:widowControl/>
        <w:adjustRightInd w:val="0"/>
        <w:snapToGrid w:val="0"/>
        <w:spacing w:before="100" w:beforeAutospacing="1" w:after="200" w:line="520" w:lineRule="exact"/>
        <w:ind w:firstLine="448"/>
        <w:jc w:val="left"/>
        <w:rPr>
          <w:rFonts w:hint="eastAsia" w:ascii="宋体"/>
          <w:color w:val="000000"/>
          <w:kern w:val="0"/>
          <w:szCs w:val="21"/>
        </w:rPr>
      </w:pPr>
      <w:r>
        <w:rPr>
          <w:rFonts w:hint="eastAsia" w:ascii="宋体"/>
          <w:color w:val="000000"/>
          <w:kern w:val="0"/>
          <w:szCs w:val="21"/>
        </w:rPr>
        <w:t>《高等代数》起源于古老的解方程与方程组理论和近代几何与物理上的向量与各种变换的研究，大约形成于十七世纪</w:t>
      </w:r>
      <w:r>
        <w:rPr>
          <w:rFonts w:hint="eastAsia" w:ascii="宋体"/>
          <w:kern w:val="0"/>
          <w:szCs w:val="21"/>
        </w:rPr>
        <w:t>中</w:t>
      </w:r>
      <w:r>
        <w:rPr>
          <w:rFonts w:hint="eastAsia" w:ascii="宋体"/>
          <w:color w:val="000000"/>
          <w:kern w:val="0"/>
          <w:szCs w:val="21"/>
        </w:rPr>
        <w:t>叶， 以当时日本数学家关孝和提出的行列式(determinant)概念和克莱姆(Cramer)《线性代数分析导言》为标志；随着计算机的飞速发展和广泛应用，许多实际问题可以通过离散化的数值计算得到定量的解决，作为处理离散问题的线性代数，已成为从事科学研究和工程设计的科技人员必备的数学基础。该课程主要讲授“行列式”、“矩阵”、“向量空间”、“线性变换”和“二次型”；是基础数学、应用数学、计算数学、统计、金融、经济等学科的一门主干基础课和必修课，是数学各专业的经典的三大基础课程之一，一般历时二学期；通过本课程的学习，能使学生掌握该课程的基本理论、思想和方法，为一些后续课程的学习及在各个学科领域中进行理论研究和实践工作提供必要的保证，同时对于培养学生的逻辑推理能力、抽象思维能力和运算能力有着重要的作用。</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二、考查目标</w:t>
      </w:r>
    </w:p>
    <w:p>
      <w:pPr>
        <w:widowControl/>
        <w:spacing w:line="520" w:lineRule="exact"/>
        <w:ind w:firstLine="420" w:firstLineChars="200"/>
        <w:jc w:val="left"/>
        <w:rPr>
          <w:rFonts w:hint="eastAsia" w:ascii="宋体"/>
          <w:color w:val="000000"/>
          <w:kern w:val="0"/>
          <w:szCs w:val="21"/>
        </w:rPr>
      </w:pPr>
      <w:r>
        <w:rPr>
          <w:rFonts w:hint="eastAsia" w:ascii="宋体"/>
          <w:color w:val="000000"/>
          <w:kern w:val="0"/>
          <w:szCs w:val="21"/>
        </w:rPr>
        <w:t>考查学生对《高等代数》理论基础知识掌握的情况及分析解决某些实际问题的能力。通过考试，选拔出具有较好数学功底的学生来攻读我校统计学专业的硕士研究生，以使录取的研究生具有进一步学习统计学专业知识及从事有关统计科研工作所需的较扎实与系统的《高等代数》知识。</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三、考试内容及要求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第二章行列式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1、排列的概念及基本性质：偶排列、奇排列、反序数</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2、n阶行列式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3、n阶行列式的性质</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4、行列式计算：矩阵、矩阵的行列式、矩阵的初等变换、阶梯形矩阵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5、按行列展开，子式和代数余子式</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color w:val="000000"/>
          <w:kern w:val="0"/>
          <w:szCs w:val="21"/>
        </w:rPr>
        <w:t>6、克拉</w:t>
      </w:r>
      <w:r>
        <w:rPr>
          <w:rFonts w:hint="eastAsia" w:ascii="宋体"/>
          <w:kern w:val="0"/>
          <w:szCs w:val="21"/>
        </w:rPr>
        <w:t>默法则</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kern w:val="0"/>
          <w:szCs w:val="21"/>
        </w:rPr>
        <w:t>二、考核要求</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kern w:val="0"/>
          <w:szCs w:val="21"/>
        </w:rPr>
        <w:t>1、深刻理解各项内容，熟练掌握行列式计算与展开和克拉默法则。</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2、能够应用本章的基本概念、基本原理、基本方法进行相关计算与解决相关实际问题。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第三章 线性方程组</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1、消元法：高斯消元法，同解变形，线性方程组的增广矩阵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w:t>
      </w:r>
      <w:r>
        <w:rPr>
          <w:rFonts w:ascii="宋体"/>
          <w:color w:val="000000"/>
          <w:kern w:val="0"/>
          <w:position w:val="-6"/>
          <w:szCs w:val="21"/>
        </w:rPr>
        <w:object>
          <v:shape id="_x0000_i1025" o:spt="75" type="#_x0000_t75" style="height:11pt;width:10pt;" o:ole="t" filled="f" o:preferrelative="t" stroked="f" coordsize="21600,21600">
            <v:path/>
            <v:fill on="f" alignshape="1" focussize="0,0"/>
            <v:stroke on="f"/>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color w:val="000000"/>
          <w:kern w:val="0"/>
          <w:szCs w:val="21"/>
        </w:rPr>
        <w:t>维向量空间：向量空间，行向量，列向量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3、线性相</w:t>
      </w:r>
      <w:r>
        <w:rPr>
          <w:rFonts w:hint="eastAsia" w:ascii="宋体"/>
          <w:kern w:val="0"/>
          <w:szCs w:val="21"/>
        </w:rPr>
        <w:t>关性</w:t>
      </w:r>
      <w:r>
        <w:rPr>
          <w:rFonts w:hint="eastAsia" w:ascii="宋体"/>
          <w:color w:val="000000"/>
          <w:kern w:val="0"/>
          <w:szCs w:val="21"/>
        </w:rPr>
        <w:t>：线性组合，线性表出，线性相关、线性无关、极大线性无关组</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4、矩阵的秩：行秩，列秩，矩阵的秩</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5、线性方程组有解判别定理</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6、线性方程组解的结构</w:t>
      </w:r>
      <w:r>
        <w:rPr>
          <w:rFonts w:hint="eastAsia" w:ascii="宋体"/>
          <w:color w:val="FF0000"/>
          <w:kern w:val="0"/>
          <w:szCs w:val="21"/>
        </w:rPr>
        <w:t>。</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1、深刻理解各项内容，熟练掌握线性方程组的解法。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2、能够应用本章的基本概念、基本原理、基本方法解线性方程组与研究解的结构。</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第四章 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1、矩阵的概念</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color w:val="000000"/>
          <w:kern w:val="0"/>
          <w:szCs w:val="21"/>
        </w:rPr>
        <w:t>2、矩</w:t>
      </w:r>
      <w:r>
        <w:rPr>
          <w:rFonts w:hint="eastAsia" w:ascii="宋体"/>
          <w:kern w:val="0"/>
          <w:szCs w:val="21"/>
        </w:rPr>
        <w:t>阵的运算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kern w:val="0"/>
          <w:szCs w:val="21"/>
        </w:rPr>
        <w:t>3、矩阵的行列式与</w:t>
      </w:r>
      <w:r>
        <w:rPr>
          <w:rFonts w:hint="eastAsia" w:ascii="宋体"/>
          <w:color w:val="000000"/>
          <w:kern w:val="0"/>
          <w:szCs w:val="21"/>
        </w:rPr>
        <w:t>秩</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4、矩阵的逆：可逆矩阵，逆矩阵，伴随矩阵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5、矩阵的分块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6、初等矩阵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7、分块乘法的初等变换及应用</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color w:val="000000"/>
          <w:kern w:val="0"/>
          <w:szCs w:val="21"/>
        </w:rPr>
        <w:t>1、深刻理解各项内容，熟练</w:t>
      </w:r>
      <w:r>
        <w:rPr>
          <w:rFonts w:hint="eastAsia" w:ascii="宋体"/>
          <w:kern w:val="0"/>
          <w:szCs w:val="21"/>
        </w:rPr>
        <w:t>掌握矩阵的运算与逆矩阵的求法。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kern w:val="0"/>
          <w:szCs w:val="21"/>
        </w:rPr>
        <w:t>2、能够综合应用所学内容解相关实际问题。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第五章 二次型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1、二次型及其矩阵表示：二次型，非退化线性替换，二次型的矩阵，合同关系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2、标准型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3、唯一性：规范型，惯性定理</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4、正定二次型：正定，负定，半正定，半负定，顺序主子式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1、识记各项内容，熟练掌握合同变换。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2、能够综合应用所学内容解相关实际问题。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第六章 线性空间</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1、集合与映射</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2、线性空间的定义与简单性质：加法，数量乘法，向量，线性空间</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3、维数、基与坐标：有限维，无限维，基，坐标</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4、基变换与坐标变换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5、线性子空间：子空间，零子空间，平凡子空间，非平凡子空间，生成子空间，线性方程组的解空间</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6、子空间的交与和</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7、子空间的直和</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8、线性空间的同构</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1、深刻理解各项内容，熟练掌握基变换与坐标变换。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2、能够综合应用所学内容解相关实际问题。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第七章 线性变换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1、线性变换的定义</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2、线性变换的运算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3、线性变换的矩阵与相似矩阵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4、特征值与特征向量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5、对角矩阵</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6、线性变换的值域与核</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7、不变子空间</w:t>
      </w:r>
    </w:p>
    <w:p>
      <w:pPr>
        <w:widowControl/>
        <w:adjustRightInd w:val="0"/>
        <w:snapToGrid w:val="0"/>
        <w:spacing w:before="100" w:beforeAutospacing="1" w:after="200"/>
        <w:ind w:firstLine="420" w:firstLineChars="200"/>
        <w:jc w:val="left"/>
        <w:rPr>
          <w:rFonts w:hint="eastAsia" w:ascii="宋体"/>
          <w:kern w:val="0"/>
          <w:szCs w:val="21"/>
        </w:rPr>
      </w:pPr>
      <w:r>
        <w:rPr>
          <w:rFonts w:hint="eastAsia" w:ascii="宋体"/>
          <w:kern w:val="0"/>
          <w:szCs w:val="21"/>
        </w:rPr>
        <w:t>8、若尔当标准形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1、深刻理解各项内容，熟练掌握线性变换的运算，矩阵</w:t>
      </w:r>
      <w:r>
        <w:rPr>
          <w:rFonts w:hint="eastAsia" w:ascii="宋体"/>
          <w:kern w:val="0"/>
          <w:szCs w:val="21"/>
        </w:rPr>
        <w:t>的</w:t>
      </w:r>
      <w:r>
        <w:rPr>
          <w:rFonts w:hint="eastAsia" w:ascii="宋体"/>
          <w:color w:val="000000"/>
          <w:kern w:val="0"/>
          <w:szCs w:val="21"/>
        </w:rPr>
        <w:t>相似变换。</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2、能够综合应用所学内容解相关实际问题。</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四、考试形式和试卷结构</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1</w:t>
      </w:r>
      <w:r>
        <w:rPr>
          <w:rFonts w:hint="eastAsia" w:ascii="宋体"/>
          <w:color w:val="000000"/>
          <w:kern w:val="0"/>
          <w:szCs w:val="21"/>
        </w:rPr>
        <w:t xml:space="preserve">、试卷满分及考试时间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本试卷满分为150分，考试时间为180分钟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2</w:t>
      </w:r>
      <w:r>
        <w:rPr>
          <w:rFonts w:hint="eastAsia" w:ascii="宋体"/>
          <w:color w:val="000000"/>
          <w:kern w:val="0"/>
          <w:szCs w:val="21"/>
        </w:rPr>
        <w:t xml:space="preserve">、答题方式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答题方式为闭卷，笔试。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3</w:t>
      </w:r>
      <w:r>
        <w:rPr>
          <w:rFonts w:hint="eastAsia" w:ascii="宋体"/>
          <w:color w:val="000000"/>
          <w:kern w:val="0"/>
          <w:szCs w:val="21"/>
        </w:rPr>
        <w:t xml:space="preserve">、试卷内容结构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行列式  约15 %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线性方程组  约20 %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矩阵  约30 %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二次型 约10 %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线性空间与线性变换约25 %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4、试卷题型结构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单选题 5小题， 每小题2分， 共10分</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填空题 10小题，每小题2分，共20分</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计算题 9小题， 每小题10分， 共90分</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证明题 3小题， 每小题10分， 共30分</w:t>
      </w:r>
    </w:p>
    <w:p>
      <w:pPr>
        <w:widowControl/>
        <w:adjustRightInd w:val="0"/>
        <w:snapToGrid w:val="0"/>
        <w:spacing w:before="100" w:beforeAutospacing="1" w:after="200"/>
        <w:jc w:val="left"/>
        <w:rPr>
          <w:rFonts w:ascii="宋体"/>
          <w:color w:val="000000"/>
          <w:kern w:val="0"/>
          <w:szCs w:val="21"/>
        </w:rPr>
      </w:pPr>
      <w:r>
        <w:rPr>
          <w:rFonts w:hint="eastAsia" w:ascii="宋体"/>
          <w:color w:val="000000"/>
          <w:kern w:val="0"/>
          <w:szCs w:val="21"/>
        </w:rPr>
        <w:t>五、参考书目</w:t>
      </w:r>
    </w:p>
    <w:p>
      <w:pPr>
        <w:widowControl/>
        <w:adjustRightInd w:val="0"/>
        <w:snapToGrid w:val="0"/>
        <w:spacing w:before="100" w:beforeAutospacing="1" w:after="200"/>
        <w:jc w:val="left"/>
        <w:rPr>
          <w:rFonts w:hint="eastAsia" w:ascii="宋体"/>
          <w:kern w:val="0"/>
          <w:szCs w:val="21"/>
        </w:rPr>
      </w:pPr>
      <w:r>
        <w:rPr>
          <w:rFonts w:hint="eastAsia" w:ascii="宋体"/>
          <w:kern w:val="0"/>
          <w:szCs w:val="21"/>
        </w:rPr>
        <w:t>《高等代数》第四版，北京大学数学系前代数小组 编，王萼芳，石生明 修订，高等教育出版社，2013年。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lang/>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NGJiMmYzZjBlMjVlNzM1ZDI4NTg3YzgxMTAzMzAifQ=="/>
  </w:docVars>
  <w:rsids>
    <w:rsidRoot w:val="00172A27"/>
    <w:rsid w:val="00077A34"/>
    <w:rsid w:val="000832CC"/>
    <w:rsid w:val="000F7321"/>
    <w:rsid w:val="00151E4A"/>
    <w:rsid w:val="001708BD"/>
    <w:rsid w:val="002340F3"/>
    <w:rsid w:val="00281249"/>
    <w:rsid w:val="002819C6"/>
    <w:rsid w:val="002D5424"/>
    <w:rsid w:val="002E265B"/>
    <w:rsid w:val="00303C08"/>
    <w:rsid w:val="00307CD6"/>
    <w:rsid w:val="00343BD4"/>
    <w:rsid w:val="00366D66"/>
    <w:rsid w:val="00402B98"/>
    <w:rsid w:val="004233DC"/>
    <w:rsid w:val="00456BD3"/>
    <w:rsid w:val="004662EA"/>
    <w:rsid w:val="0049617C"/>
    <w:rsid w:val="004C437F"/>
    <w:rsid w:val="004D2C87"/>
    <w:rsid w:val="00507AB6"/>
    <w:rsid w:val="00523074"/>
    <w:rsid w:val="00550757"/>
    <w:rsid w:val="00573682"/>
    <w:rsid w:val="005802E8"/>
    <w:rsid w:val="005E0B88"/>
    <w:rsid w:val="005E2029"/>
    <w:rsid w:val="0062263B"/>
    <w:rsid w:val="00640542"/>
    <w:rsid w:val="0065754A"/>
    <w:rsid w:val="006811E7"/>
    <w:rsid w:val="006B73D7"/>
    <w:rsid w:val="006D29F7"/>
    <w:rsid w:val="006F516B"/>
    <w:rsid w:val="007066F5"/>
    <w:rsid w:val="007136D2"/>
    <w:rsid w:val="00716A01"/>
    <w:rsid w:val="007726CA"/>
    <w:rsid w:val="007A3BE2"/>
    <w:rsid w:val="007A73B4"/>
    <w:rsid w:val="00810936"/>
    <w:rsid w:val="008118D4"/>
    <w:rsid w:val="00815629"/>
    <w:rsid w:val="00841003"/>
    <w:rsid w:val="008457D4"/>
    <w:rsid w:val="008869F1"/>
    <w:rsid w:val="008E026B"/>
    <w:rsid w:val="008F20A2"/>
    <w:rsid w:val="00934419"/>
    <w:rsid w:val="00975BAD"/>
    <w:rsid w:val="009B0781"/>
    <w:rsid w:val="00A2176F"/>
    <w:rsid w:val="00A60B15"/>
    <w:rsid w:val="00A66548"/>
    <w:rsid w:val="00AE7D86"/>
    <w:rsid w:val="00B05729"/>
    <w:rsid w:val="00B251D9"/>
    <w:rsid w:val="00BA13BC"/>
    <w:rsid w:val="00BD46F8"/>
    <w:rsid w:val="00C2140D"/>
    <w:rsid w:val="00C46DAE"/>
    <w:rsid w:val="00C70F09"/>
    <w:rsid w:val="00CA7440"/>
    <w:rsid w:val="00CB1CE7"/>
    <w:rsid w:val="00CB7F9C"/>
    <w:rsid w:val="00D70844"/>
    <w:rsid w:val="00D75F7D"/>
    <w:rsid w:val="00DA2CEA"/>
    <w:rsid w:val="00DE1CED"/>
    <w:rsid w:val="00E32C51"/>
    <w:rsid w:val="00E602F9"/>
    <w:rsid w:val="00E65313"/>
    <w:rsid w:val="00E8661E"/>
    <w:rsid w:val="00E93AF2"/>
    <w:rsid w:val="00EA12B3"/>
    <w:rsid w:val="00EB062A"/>
    <w:rsid w:val="00ED6FE7"/>
    <w:rsid w:val="00EE3152"/>
    <w:rsid w:val="00EF48F8"/>
    <w:rsid w:val="00F21090"/>
    <w:rsid w:val="00F549B1"/>
    <w:rsid w:val="00F70E15"/>
    <w:rsid w:val="00F91CAA"/>
    <w:rsid w:val="00FA4EE3"/>
    <w:rsid w:val="00FB46C4"/>
    <w:rsid w:val="00FC5960"/>
    <w:rsid w:val="00FE4987"/>
    <w:rsid w:val="08EF6AA5"/>
    <w:rsid w:val="1DD038CF"/>
    <w:rsid w:val="39527009"/>
    <w:rsid w:val="4C01035B"/>
    <w:rsid w:val="526265DF"/>
    <w:rsid w:val="54E46B0C"/>
    <w:rsid w:val="63764568"/>
    <w:rsid w:val="66DF51C3"/>
    <w:rsid w:val="6DBD0CA3"/>
    <w:rsid w:val="71874F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annotation subject"/>
    <w:basedOn w:val="2"/>
    <w:next w:val="2"/>
    <w:link w:val="13"/>
    <w:uiPriority w:val="0"/>
    <w:rPr>
      <w:b/>
      <w:bCs/>
    </w:rPr>
  </w:style>
  <w:style w:type="character" w:styleId="9">
    <w:name w:val="page number"/>
    <w:basedOn w:val="8"/>
    <w:uiPriority w:val="0"/>
  </w:style>
  <w:style w:type="character" w:styleId="10">
    <w:name w:val="annotation reference"/>
    <w:uiPriority w:val="0"/>
    <w:rPr>
      <w:sz w:val="21"/>
      <w:szCs w:val="21"/>
    </w:rPr>
  </w:style>
  <w:style w:type="character" w:customStyle="1" w:styleId="11">
    <w:name w:val="批注文字 Char"/>
    <w:link w:val="2"/>
    <w:uiPriority w:val="0"/>
    <w:rPr>
      <w:kern w:val="2"/>
      <w:sz w:val="21"/>
    </w:rPr>
  </w:style>
  <w:style w:type="character" w:customStyle="1" w:styleId="12">
    <w:name w:val="批注框文本 Char"/>
    <w:link w:val="3"/>
    <w:uiPriority w:val="0"/>
    <w:rPr>
      <w:kern w:val="2"/>
      <w:sz w:val="18"/>
      <w:szCs w:val="18"/>
    </w:rPr>
  </w:style>
  <w:style w:type="character" w:customStyle="1" w:styleId="13">
    <w:name w:val="批注主题 Char"/>
    <w:link w:val="6"/>
    <w:uiPriority w:val="0"/>
    <w:rPr>
      <w:b/>
      <w:bCs/>
      <w:kern w:val="2"/>
      <w:sz w:val="21"/>
    </w:rPr>
  </w:style>
  <w:style w:type="paragraph" w:customStyle="1" w:styleId="14">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308</Words>
  <Characters>1760</Characters>
  <Lines>14</Lines>
  <Paragraphs>4</Paragraphs>
  <TotalTime>0</TotalTime>
  <ScaleCrop>false</ScaleCrop>
  <LinksUpToDate>false</LinksUpToDate>
  <CharactersWithSpaces>2064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user</dc:creator>
  <cp:lastModifiedBy>vertesyuan</cp:lastModifiedBy>
  <dcterms:modified xsi:type="dcterms:W3CDTF">2024-06-20T03:23:54Z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KSORubyTemplateID">
    <vt:lpwstr>6</vt:lpwstr>
  </property>
  <property fmtid="{D5CDD505-2E9C-101B-9397-08002B2CF9AE}" pid="4" name="MTWinEqns">
    <vt:bool>true</vt:bool>
  </property>
  <property fmtid="{D5CDD505-2E9C-101B-9397-08002B2CF9AE}" pid="5" name="ICV">
    <vt:lpwstr>970BA91B1E204988B090BB642BC5B573_13</vt:lpwstr>
  </property>
</Properties>
</file>