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0" w:lineRule="exact"/>
        <w:jc w:val="center"/>
        <w:rPr>
          <w:rFonts w:hAnsi="仿宋" w:eastAsia="仿宋"/>
          <w:sz w:val="32"/>
          <w:szCs w:val="32"/>
        </w:rPr>
      </w:pPr>
      <w:bookmarkStart w:id="0" w:name="_GoBack"/>
      <w:bookmarkEnd w:id="0"/>
    </w:p>
    <w:p>
      <w:pPr>
        <w:spacing w:line="560" w:lineRule="exact"/>
        <w:jc w:val="center"/>
        <w:rPr>
          <w:rFonts w:eastAsia="方正小标宋简体"/>
          <w:b/>
          <w:sz w:val="44"/>
          <w:szCs w:val="44"/>
        </w:rPr>
      </w:pPr>
      <w:r>
        <w:rPr>
          <w:rFonts w:hint="eastAsia" w:eastAsia="方正小标宋简体"/>
          <w:b/>
          <w:sz w:val="44"/>
          <w:szCs w:val="44"/>
          <w:u w:val="single"/>
        </w:rPr>
        <w:t xml:space="preserve"> 20</w:t>
      </w:r>
      <w:r>
        <w:rPr>
          <w:rFonts w:eastAsia="方正小标宋简体"/>
          <w:b/>
          <w:sz w:val="44"/>
          <w:szCs w:val="44"/>
          <w:u w:val="single"/>
        </w:rPr>
        <w:t>2</w:t>
      </w:r>
      <w:r>
        <w:rPr>
          <w:rFonts w:hint="eastAsia" w:eastAsia="方正小标宋简体"/>
          <w:b/>
          <w:sz w:val="44"/>
          <w:szCs w:val="44"/>
          <w:u w:val="single"/>
        </w:rPr>
        <w:t>4</w:t>
      </w:r>
      <w:r>
        <w:rPr>
          <w:rFonts w:eastAsia="方正小标宋简体"/>
          <w:b/>
          <w:sz w:val="44"/>
          <w:szCs w:val="44"/>
        </w:rPr>
        <w:t>年硕士研究生入学考试自命题科目</w:t>
      </w:r>
    </w:p>
    <w:p>
      <w:pPr>
        <w:spacing w:line="560" w:lineRule="exact"/>
        <w:jc w:val="center"/>
        <w:rPr>
          <w:rFonts w:eastAsia="方正小标宋简体"/>
          <w:bCs/>
          <w:sz w:val="44"/>
          <w:szCs w:val="44"/>
        </w:rPr>
      </w:pPr>
      <w:r>
        <w:rPr>
          <w:rFonts w:eastAsia="方正小标宋简体"/>
          <w:b/>
          <w:sz w:val="44"/>
          <w:szCs w:val="44"/>
        </w:rPr>
        <w:t>考试大纲</w:t>
      </w:r>
    </w:p>
    <w:tbl>
      <w:tblPr>
        <w:tblStyle w:val="9"/>
        <w:tblW w:w="8522" w:type="dxa"/>
        <w:jc w:val="center"/>
        <w:tblLayout w:type="fixed"/>
        <w:tblCellMar>
          <w:top w:w="0" w:type="dxa"/>
          <w:left w:w="108" w:type="dxa"/>
          <w:bottom w:w="0" w:type="dxa"/>
          <w:right w:w="108" w:type="dxa"/>
        </w:tblCellMar>
      </w:tblPr>
      <w:tblGrid>
        <w:gridCol w:w="5670"/>
        <w:gridCol w:w="2852"/>
      </w:tblGrid>
      <w:tr>
        <w:tblPrEx>
          <w:tblCellMar>
            <w:top w:w="0" w:type="dxa"/>
            <w:left w:w="108" w:type="dxa"/>
            <w:bottom w:w="0" w:type="dxa"/>
            <w:right w:w="108" w:type="dxa"/>
          </w:tblCellMar>
        </w:tblPrEx>
        <w:trPr>
          <w:wBefore w:w="0" w:type="dxa"/>
          <w:trHeight w:val="520" w:hRule="atLeast"/>
          <w:jc w:val="center"/>
        </w:trPr>
        <w:tc>
          <w:tcPr>
            <w:tcW w:w="5670" w:type="dxa"/>
            <w:noWrap w:val="0"/>
            <w:vAlign w:val="top"/>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阶段</w:t>
            </w:r>
            <w:r>
              <w:rPr>
                <w:rFonts w:hint="eastAsia" w:eastAsia="仿宋_GB2312"/>
                <w:bCs/>
                <w:sz w:val="28"/>
                <w:szCs w:val="28"/>
              </w:rPr>
              <w:t>：复</w:t>
            </w:r>
            <w:r>
              <w:rPr>
                <w:rFonts w:eastAsia="仿宋_GB2312"/>
                <w:bCs/>
                <w:sz w:val="28"/>
                <w:szCs w:val="28"/>
              </w:rPr>
              <w:t>试</w:t>
            </w:r>
          </w:p>
        </w:tc>
        <w:tc>
          <w:tcPr>
            <w:tcW w:w="2852" w:type="dxa"/>
            <w:noWrap w:val="0"/>
            <w:vAlign w:val="top"/>
          </w:tcPr>
          <w:p>
            <w:pPr>
              <w:spacing w:after="100" w:afterAutospacing="1"/>
              <w:rPr>
                <w:rFonts w:eastAsia="仿宋_GB2312"/>
                <w:bCs/>
                <w:sz w:val="28"/>
                <w:szCs w:val="28"/>
              </w:rPr>
            </w:pPr>
            <w:r>
              <w:rPr>
                <w:rFonts w:hint="eastAsia" w:eastAsia="仿宋_GB2312"/>
                <w:bCs/>
                <w:sz w:val="28"/>
                <w:szCs w:val="28"/>
              </w:rPr>
              <w:t>科目</w:t>
            </w:r>
            <w:r>
              <w:rPr>
                <w:rFonts w:eastAsia="仿宋_GB2312"/>
                <w:bCs/>
                <w:sz w:val="28"/>
                <w:szCs w:val="28"/>
              </w:rPr>
              <w:t>满分值：</w:t>
            </w:r>
            <w:r>
              <w:rPr>
                <w:rFonts w:hint="eastAsia" w:eastAsia="仿宋_GB2312"/>
                <w:bCs/>
                <w:sz w:val="28"/>
                <w:szCs w:val="28"/>
              </w:rPr>
              <w:t>100</w:t>
            </w:r>
          </w:p>
        </w:tc>
      </w:tr>
      <w:tr>
        <w:tblPrEx>
          <w:tblCellMar>
            <w:top w:w="0" w:type="dxa"/>
            <w:left w:w="108" w:type="dxa"/>
            <w:bottom w:w="0" w:type="dxa"/>
            <w:right w:w="108" w:type="dxa"/>
          </w:tblCellMar>
        </w:tblPrEx>
        <w:trPr>
          <w:wBefore w:w="0" w:type="dxa"/>
          <w:trHeight w:val="520" w:hRule="atLeast"/>
          <w:jc w:val="center"/>
        </w:trPr>
        <w:tc>
          <w:tcPr>
            <w:tcW w:w="5670" w:type="dxa"/>
            <w:noWrap w:val="0"/>
            <w:vAlign w:val="top"/>
          </w:tcPr>
          <w:p>
            <w:pPr>
              <w:spacing w:after="100" w:afterAutospacing="1"/>
              <w:rPr>
                <w:rFonts w:eastAsia="仿宋_GB2312"/>
                <w:bCs/>
                <w:sz w:val="28"/>
                <w:szCs w:val="28"/>
              </w:rPr>
            </w:pPr>
            <w:r>
              <w:rPr>
                <w:rFonts w:eastAsia="仿宋_GB2312"/>
                <w:bCs/>
                <w:sz w:val="28"/>
                <w:szCs w:val="28"/>
              </w:rPr>
              <w:t>考试科目：</w:t>
            </w:r>
            <w:r>
              <w:rPr>
                <w:rFonts w:hint="eastAsia" w:eastAsia="仿宋_GB2312"/>
                <w:bCs/>
                <w:sz w:val="28"/>
                <w:szCs w:val="28"/>
              </w:rPr>
              <w:t>经济学基础</w:t>
            </w:r>
          </w:p>
        </w:tc>
        <w:tc>
          <w:tcPr>
            <w:tcW w:w="2852" w:type="dxa"/>
            <w:noWrap w:val="0"/>
            <w:vAlign w:val="top"/>
          </w:tcPr>
          <w:p>
            <w:pPr>
              <w:spacing w:after="100" w:afterAutospacing="1"/>
              <w:rPr>
                <w:rFonts w:eastAsia="仿宋_GB2312"/>
                <w:bCs/>
                <w:sz w:val="28"/>
                <w:szCs w:val="28"/>
              </w:rPr>
            </w:pPr>
            <w:r>
              <w:rPr>
                <w:rFonts w:eastAsia="仿宋_GB2312"/>
                <w:bCs/>
                <w:sz w:val="28"/>
                <w:szCs w:val="28"/>
              </w:rPr>
              <w:t>科目代码：</w:t>
            </w:r>
          </w:p>
        </w:tc>
      </w:tr>
      <w:tr>
        <w:tblPrEx>
          <w:tblCellMar>
            <w:top w:w="0" w:type="dxa"/>
            <w:left w:w="108" w:type="dxa"/>
            <w:bottom w:w="0" w:type="dxa"/>
            <w:right w:w="108" w:type="dxa"/>
          </w:tblCellMar>
        </w:tblPrEx>
        <w:trPr>
          <w:wBefore w:w="0" w:type="dxa"/>
          <w:trHeight w:val="520" w:hRule="atLeast"/>
          <w:jc w:val="center"/>
        </w:trPr>
        <w:tc>
          <w:tcPr>
            <w:tcW w:w="5670" w:type="dxa"/>
            <w:noWrap w:val="0"/>
            <w:vAlign w:val="top"/>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方式：</w:t>
            </w:r>
            <w:r>
              <w:rPr>
                <w:rFonts w:hint="eastAsia" w:eastAsia="仿宋_GB2312"/>
                <w:bCs/>
                <w:sz w:val="28"/>
                <w:szCs w:val="28"/>
              </w:rPr>
              <w:t>闭卷</w:t>
            </w:r>
            <w:r>
              <w:rPr>
                <w:rFonts w:eastAsia="仿宋_GB2312"/>
                <w:bCs/>
                <w:sz w:val="28"/>
                <w:szCs w:val="28"/>
              </w:rPr>
              <w:t>笔试</w:t>
            </w:r>
          </w:p>
        </w:tc>
        <w:tc>
          <w:tcPr>
            <w:tcW w:w="2852" w:type="dxa"/>
            <w:noWrap w:val="0"/>
            <w:vAlign w:val="top"/>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时长：</w:t>
            </w:r>
            <w:r>
              <w:rPr>
                <w:rFonts w:hint="eastAsia" w:eastAsia="仿宋_GB2312"/>
                <w:bCs/>
                <w:sz w:val="28"/>
                <w:szCs w:val="28"/>
              </w:rPr>
              <w:t>180分钟</w:t>
            </w:r>
          </w:p>
        </w:tc>
      </w:tr>
    </w:tbl>
    <w:p>
      <w:pPr>
        <w:rPr>
          <w:rFonts w:eastAsia="黑体"/>
          <w:b/>
          <w:bCs/>
          <w:sz w:val="28"/>
          <w:szCs w:val="28"/>
        </w:rPr>
      </w:pPr>
    </w:p>
    <w:p>
      <w:pPr>
        <w:outlineLvl w:val="0"/>
        <w:rPr>
          <w:rFonts w:hint="eastAsia" w:eastAsia="黑体"/>
          <w:b/>
          <w:bCs/>
          <w:sz w:val="28"/>
          <w:szCs w:val="28"/>
        </w:rPr>
      </w:pPr>
      <w:r>
        <w:rPr>
          <w:rFonts w:eastAsia="黑体"/>
          <w:b/>
          <w:bCs/>
          <w:sz w:val="28"/>
          <w:szCs w:val="28"/>
        </w:rPr>
        <w:t>一、</w:t>
      </w:r>
      <w:r>
        <w:rPr>
          <w:rFonts w:hint="eastAsia" w:eastAsia="黑体"/>
          <w:b/>
          <w:bCs/>
          <w:sz w:val="28"/>
          <w:szCs w:val="28"/>
        </w:rPr>
        <w:t>科目</w:t>
      </w:r>
      <w:r>
        <w:rPr>
          <w:rFonts w:eastAsia="黑体"/>
          <w:b/>
          <w:bCs/>
          <w:sz w:val="28"/>
          <w:szCs w:val="28"/>
        </w:rPr>
        <w:t>的总体要求</w:t>
      </w:r>
    </w:p>
    <w:p>
      <w:pP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本</w:t>
      </w:r>
      <w:r>
        <w:rPr>
          <w:rFonts w:hint="eastAsia" w:ascii="仿宋" w:hAnsi="仿宋" w:eastAsia="仿宋"/>
          <w:sz w:val="28"/>
          <w:szCs w:val="28"/>
        </w:rPr>
        <w:t>科目总体要求：考核考生掌握经济学的基本概念、基本思想、基本方法和基本理论的程度，要求考生对经济学理论体系的基本框架有一个比较全面的了解，并能综合运用所学的经济理论知识分析实际经济问题。</w:t>
      </w:r>
    </w:p>
    <w:p>
      <w:pPr>
        <w:outlineLvl w:val="0"/>
        <w:rPr>
          <w:rFonts w:eastAsia="黑体"/>
          <w:b/>
          <w:bCs/>
          <w:sz w:val="28"/>
          <w:szCs w:val="28"/>
        </w:rPr>
      </w:pPr>
    </w:p>
    <w:p>
      <w:pPr>
        <w:outlineLvl w:val="0"/>
        <w:rPr>
          <w:rFonts w:hint="eastAsia" w:eastAsia="黑体"/>
          <w:b/>
          <w:sz w:val="28"/>
          <w:szCs w:val="28"/>
        </w:rPr>
      </w:pPr>
      <w:r>
        <w:rPr>
          <w:rFonts w:eastAsia="黑体"/>
          <w:b/>
          <w:sz w:val="28"/>
          <w:szCs w:val="28"/>
        </w:rPr>
        <w:t>二、</w:t>
      </w:r>
      <w:r>
        <w:rPr>
          <w:rFonts w:hint="eastAsia" w:eastAsia="黑体"/>
          <w:b/>
          <w:sz w:val="28"/>
          <w:szCs w:val="28"/>
        </w:rPr>
        <w:t>考核内容与考核要求</w:t>
      </w:r>
    </w:p>
    <w:p>
      <w:pPr>
        <w:rPr>
          <w:rFonts w:hint="eastAsia" w:ascii="仿宋" w:hAnsi="仿宋" w:eastAsia="仿宋"/>
          <w:sz w:val="28"/>
          <w:szCs w:val="28"/>
        </w:rPr>
      </w:pPr>
      <w:r>
        <w:rPr>
          <w:rFonts w:hint="eastAsia" w:ascii="仿宋" w:hAnsi="仿宋" w:eastAsia="仿宋"/>
          <w:sz w:val="28"/>
          <w:szCs w:val="28"/>
        </w:rPr>
        <w:t xml:space="preserve">    《经济学基础》考核包括微观经济学和宏观经济学的两部分，具体包括以下内容。</w:t>
      </w:r>
    </w:p>
    <w:p>
      <w:pPr>
        <w:ind w:firstLine="700" w:firstLineChars="250"/>
        <w:rPr>
          <w:rFonts w:ascii="仿宋" w:hAnsi="仿宋" w:eastAsia="仿宋"/>
          <w:sz w:val="28"/>
          <w:szCs w:val="28"/>
        </w:rPr>
      </w:pPr>
      <w:r>
        <w:rPr>
          <w:rFonts w:hint="eastAsia" w:ascii="仿宋" w:hAnsi="仿宋" w:eastAsia="仿宋"/>
          <w:sz w:val="28"/>
          <w:szCs w:val="28"/>
        </w:rPr>
        <w:t>（一）导论</w:t>
      </w:r>
    </w:p>
    <w:p>
      <w:pPr>
        <w:rPr>
          <w:rFonts w:ascii="仿宋" w:hAnsi="仿宋" w:eastAsia="仿宋"/>
          <w:sz w:val="28"/>
          <w:szCs w:val="28"/>
        </w:rPr>
      </w:pPr>
      <w:r>
        <w:rPr>
          <w:rFonts w:hint="eastAsia" w:ascii="仿宋" w:hAnsi="仿宋" w:eastAsia="仿宋"/>
          <w:sz w:val="28"/>
          <w:szCs w:val="28"/>
        </w:rPr>
        <w:t xml:space="preserve">    理解并掌握微观经济学、宏观经济学、实证经济学、规范经济学的含义，掌握西方经济学的研究对象、具体研究方法。</w:t>
      </w:r>
    </w:p>
    <w:p>
      <w:pPr>
        <w:ind w:firstLine="700" w:firstLineChars="250"/>
        <w:rPr>
          <w:rFonts w:ascii="仿宋" w:hAnsi="仿宋" w:eastAsia="仿宋"/>
          <w:sz w:val="28"/>
          <w:szCs w:val="28"/>
        </w:rPr>
      </w:pPr>
      <w:r>
        <w:rPr>
          <w:rFonts w:hint="eastAsia" w:ascii="仿宋" w:hAnsi="仿宋" w:eastAsia="仿宋"/>
          <w:sz w:val="28"/>
          <w:szCs w:val="28"/>
        </w:rPr>
        <w:t>（二）需求、供给与均衡价格</w:t>
      </w:r>
    </w:p>
    <w:p>
      <w:pPr>
        <w:rPr>
          <w:rFonts w:ascii="仿宋" w:hAnsi="仿宋" w:eastAsia="仿宋"/>
          <w:sz w:val="28"/>
          <w:szCs w:val="28"/>
        </w:rPr>
      </w:pPr>
      <w:r>
        <w:rPr>
          <w:rFonts w:hint="eastAsia" w:ascii="仿宋" w:hAnsi="仿宋" w:eastAsia="仿宋"/>
          <w:sz w:val="28"/>
          <w:szCs w:val="28"/>
        </w:rPr>
        <w:t xml:space="preserve">    理解需求、供给、均衡等基本范畴的含义；掌握需求规律和供给规律作用的条件；掌握价格的形成机理以及政府干预价格的后果；掌握运用弹性理论分析变量间相互影响的程度。</w:t>
      </w:r>
    </w:p>
    <w:p>
      <w:pPr>
        <w:ind w:firstLine="700" w:firstLineChars="250"/>
        <w:rPr>
          <w:rFonts w:ascii="仿宋" w:hAnsi="仿宋" w:eastAsia="仿宋"/>
          <w:sz w:val="28"/>
          <w:szCs w:val="28"/>
        </w:rPr>
      </w:pPr>
      <w:r>
        <w:rPr>
          <w:rFonts w:hint="eastAsia" w:ascii="仿宋" w:hAnsi="仿宋" w:eastAsia="仿宋"/>
          <w:sz w:val="28"/>
          <w:szCs w:val="28"/>
        </w:rPr>
        <w:t>（三）消费者选择</w:t>
      </w:r>
    </w:p>
    <w:p>
      <w:pPr>
        <w:rPr>
          <w:rFonts w:ascii="仿宋" w:hAnsi="仿宋" w:eastAsia="仿宋"/>
          <w:sz w:val="28"/>
          <w:szCs w:val="28"/>
        </w:rPr>
      </w:pPr>
      <w:r>
        <w:rPr>
          <w:rFonts w:hint="eastAsia" w:ascii="仿宋" w:hAnsi="仿宋" w:eastAsia="仿宋"/>
          <w:sz w:val="28"/>
          <w:szCs w:val="28"/>
        </w:rPr>
        <w:t xml:space="preserve">    理解并掌握效用、总效用、边际效用的含义，边际效用递减法则、消费者均衡—边际效用分析法；掌握无差异曲线、预算线的含义，无差异曲线的特征、消费者均衡—无差异曲线分析法；理解价格变动的替代效应和收入效应，以及消费者需求曲线形状。</w:t>
      </w:r>
    </w:p>
    <w:p>
      <w:pPr>
        <w:ind w:firstLine="700" w:firstLineChars="250"/>
        <w:rPr>
          <w:rFonts w:ascii="仿宋" w:hAnsi="仿宋" w:eastAsia="仿宋"/>
          <w:sz w:val="28"/>
          <w:szCs w:val="28"/>
        </w:rPr>
      </w:pPr>
      <w:r>
        <w:rPr>
          <w:rFonts w:hint="eastAsia" w:ascii="仿宋" w:hAnsi="仿宋" w:eastAsia="仿宋"/>
          <w:sz w:val="28"/>
          <w:szCs w:val="28"/>
        </w:rPr>
        <w:t>（四）企业的生产与成本</w:t>
      </w:r>
    </w:p>
    <w:p>
      <w:pPr>
        <w:rPr>
          <w:rFonts w:ascii="仿宋" w:hAnsi="仿宋" w:eastAsia="仿宋"/>
          <w:sz w:val="28"/>
          <w:szCs w:val="28"/>
        </w:rPr>
      </w:pPr>
      <w:r>
        <w:rPr>
          <w:rFonts w:hint="eastAsia" w:ascii="仿宋" w:hAnsi="仿宋" w:eastAsia="仿宋"/>
          <w:sz w:val="28"/>
          <w:szCs w:val="28"/>
        </w:rPr>
        <w:t xml:space="preserve">    理解并掌握总产量、平均产量和边际产量，边际报酬递减法则，生产的三个阶段及生产的合理区域，等产量曲线及其特征，等成本线，投入要素的最佳组合和规模报酬。理解并掌握成本的性质与短、长期成本函数、会计成本、机会成本、经济利润、会计利润、边际成本、边际收益的定义，短期、长期成本的分类及基本图形，利润最大化的原则。</w:t>
      </w:r>
    </w:p>
    <w:p>
      <w:pPr>
        <w:ind w:firstLine="700" w:firstLineChars="250"/>
        <w:rPr>
          <w:rFonts w:ascii="仿宋" w:hAnsi="仿宋" w:eastAsia="仿宋"/>
          <w:sz w:val="28"/>
          <w:szCs w:val="28"/>
        </w:rPr>
      </w:pPr>
      <w:r>
        <w:rPr>
          <w:rFonts w:hint="eastAsia" w:ascii="仿宋" w:hAnsi="仿宋" w:eastAsia="仿宋"/>
          <w:sz w:val="28"/>
          <w:szCs w:val="28"/>
        </w:rPr>
        <w:t>（五）完全竞争市场</w:t>
      </w:r>
    </w:p>
    <w:p>
      <w:pPr>
        <w:rPr>
          <w:rFonts w:ascii="仿宋" w:hAnsi="仿宋" w:eastAsia="仿宋"/>
          <w:sz w:val="28"/>
          <w:szCs w:val="28"/>
        </w:rPr>
      </w:pPr>
      <w:r>
        <w:rPr>
          <w:rFonts w:hint="eastAsia" w:ascii="仿宋" w:hAnsi="仿宋" w:eastAsia="仿宋"/>
          <w:sz w:val="28"/>
          <w:szCs w:val="28"/>
        </w:rPr>
        <w:t xml:space="preserve">    理解四种市场的短、长期均衡条件；掌握四种市场的涵义、形成条件、特征及效率比较；掌握厂商在各种不同类型的市场环境下产量和价格决策的条件和内容；理解完全竞争市场的厂商的产量和价格决定问题，并可结合分析实际经济问题。</w:t>
      </w:r>
    </w:p>
    <w:p>
      <w:pPr>
        <w:ind w:firstLine="700" w:firstLineChars="250"/>
        <w:rPr>
          <w:rFonts w:ascii="仿宋" w:hAnsi="仿宋" w:eastAsia="仿宋"/>
          <w:sz w:val="28"/>
          <w:szCs w:val="28"/>
        </w:rPr>
      </w:pPr>
      <w:r>
        <w:rPr>
          <w:rFonts w:hint="eastAsia" w:ascii="仿宋" w:hAnsi="仿宋" w:eastAsia="仿宋"/>
          <w:sz w:val="28"/>
          <w:szCs w:val="28"/>
        </w:rPr>
        <w:t>（六）不完全竞争市场</w:t>
      </w:r>
    </w:p>
    <w:p>
      <w:pPr>
        <w:rPr>
          <w:rFonts w:hint="eastAsia" w:ascii="仿宋" w:hAnsi="仿宋" w:eastAsia="仿宋"/>
          <w:sz w:val="28"/>
          <w:szCs w:val="28"/>
        </w:rPr>
      </w:pPr>
      <w:r>
        <w:rPr>
          <w:rFonts w:hint="eastAsia" w:ascii="仿宋" w:hAnsi="仿宋" w:eastAsia="仿宋"/>
          <w:sz w:val="28"/>
          <w:szCs w:val="28"/>
        </w:rPr>
        <w:t xml:space="preserve">    理解完全垄断市场、垄断竞争市场和寡头市场的基本特征；理解各种类型的厂商的经济效率、产量和价格的比较分析，并可结合分析实际经济问题。</w:t>
      </w:r>
    </w:p>
    <w:p>
      <w:pPr>
        <w:ind w:firstLine="700" w:firstLineChars="250"/>
        <w:rPr>
          <w:rFonts w:ascii="仿宋" w:hAnsi="仿宋" w:eastAsia="仿宋"/>
          <w:sz w:val="28"/>
          <w:szCs w:val="28"/>
        </w:rPr>
      </w:pPr>
      <w:r>
        <w:rPr>
          <w:rFonts w:hint="eastAsia" w:ascii="仿宋" w:hAnsi="仿宋" w:eastAsia="仿宋"/>
          <w:sz w:val="28"/>
          <w:szCs w:val="28"/>
        </w:rPr>
        <w:t>（七）生产要素及其收入</w:t>
      </w:r>
    </w:p>
    <w:p>
      <w:pPr>
        <w:rPr>
          <w:rFonts w:hint="eastAsia" w:ascii="仿宋" w:hAnsi="仿宋" w:eastAsia="仿宋"/>
          <w:sz w:val="28"/>
          <w:szCs w:val="28"/>
        </w:rPr>
      </w:pPr>
      <w:r>
        <w:rPr>
          <w:rFonts w:hint="eastAsia" w:ascii="仿宋" w:hAnsi="仿宋" w:eastAsia="仿宋"/>
          <w:sz w:val="28"/>
          <w:szCs w:val="28"/>
        </w:rPr>
        <w:t xml:space="preserve">    理解并掌握生产要素的概念及其内容、生产要素需求、供给的特点、工资、利息、地租、利润的决定及洛伦兹曲线、基尼系数的基本内涵。</w:t>
      </w:r>
    </w:p>
    <w:p>
      <w:pPr>
        <w:ind w:firstLine="700" w:firstLineChars="250"/>
        <w:rPr>
          <w:rFonts w:ascii="仿宋" w:hAnsi="仿宋" w:eastAsia="仿宋"/>
          <w:sz w:val="28"/>
          <w:szCs w:val="28"/>
        </w:rPr>
      </w:pPr>
      <w:r>
        <w:rPr>
          <w:rFonts w:hint="eastAsia" w:ascii="仿宋" w:hAnsi="仿宋" w:eastAsia="仿宋"/>
          <w:sz w:val="28"/>
          <w:szCs w:val="28"/>
        </w:rPr>
        <w:t>（八）市场失灵的原因及其对策</w:t>
      </w:r>
    </w:p>
    <w:p>
      <w:pPr>
        <w:rPr>
          <w:rFonts w:hint="eastAsia" w:ascii="仿宋" w:hAnsi="仿宋" w:eastAsia="仿宋"/>
          <w:sz w:val="28"/>
          <w:szCs w:val="28"/>
        </w:rPr>
      </w:pPr>
      <w:r>
        <w:rPr>
          <w:rFonts w:hint="eastAsia" w:ascii="仿宋" w:hAnsi="仿宋" w:eastAsia="仿宋"/>
          <w:sz w:val="28"/>
          <w:szCs w:val="28"/>
        </w:rPr>
        <w:t xml:space="preserve">    理解并掌握市场失灵、垄断、外部性、公共物品、信息不对称的含义、市场失灵的成因分析、政府的微观经济政策。</w:t>
      </w:r>
    </w:p>
    <w:p>
      <w:pPr>
        <w:ind w:firstLine="700" w:firstLineChars="250"/>
        <w:rPr>
          <w:rFonts w:hint="eastAsia" w:ascii="仿宋" w:hAnsi="仿宋" w:eastAsia="仿宋"/>
          <w:sz w:val="28"/>
          <w:szCs w:val="28"/>
        </w:rPr>
      </w:pPr>
      <w:r>
        <w:rPr>
          <w:rFonts w:hint="eastAsia" w:ascii="仿宋" w:hAnsi="仿宋" w:eastAsia="仿宋"/>
          <w:sz w:val="28"/>
          <w:szCs w:val="28"/>
        </w:rPr>
        <w:t>（九）宏观经济的基本指标及其衡量</w:t>
      </w:r>
    </w:p>
    <w:p>
      <w:pPr>
        <w:rPr>
          <w:rFonts w:hint="eastAsia" w:ascii="仿宋" w:hAnsi="仿宋" w:eastAsia="仿宋"/>
          <w:sz w:val="28"/>
          <w:szCs w:val="28"/>
        </w:rPr>
      </w:pPr>
      <w:r>
        <w:rPr>
          <w:rFonts w:hint="eastAsia" w:ascii="仿宋" w:hAnsi="仿宋" w:eastAsia="仿宋"/>
          <w:sz w:val="28"/>
          <w:szCs w:val="28"/>
        </w:rPr>
        <w:t xml:space="preserve">    理解并掌握国内生产总值的含义及衡量方法，名义GDP和实际GDP的区别；掌握衡量价格水平的主要指标，通货膨胀的含义；掌握失业的类型及衡量的主要指标。</w:t>
      </w:r>
    </w:p>
    <w:p>
      <w:pPr>
        <w:pStyle w:val="3"/>
        <w:spacing w:line="240" w:lineRule="auto"/>
        <w:outlineLvl w:val="0"/>
        <w:rPr>
          <w:rFonts w:hint="eastAsia" w:eastAsia="黑体"/>
          <w:b/>
          <w:sz w:val="28"/>
          <w:szCs w:val="28"/>
          <w:lang w:eastAsia="zh-CN"/>
        </w:rPr>
      </w:pPr>
    </w:p>
    <w:p>
      <w:pPr>
        <w:pStyle w:val="3"/>
        <w:spacing w:line="240" w:lineRule="auto"/>
        <w:outlineLvl w:val="0"/>
        <w:rPr>
          <w:rFonts w:eastAsia="黑体"/>
          <w:b/>
          <w:sz w:val="28"/>
          <w:szCs w:val="28"/>
        </w:rPr>
      </w:pPr>
      <w:r>
        <w:rPr>
          <w:rFonts w:eastAsia="黑体"/>
          <w:b/>
          <w:sz w:val="28"/>
          <w:szCs w:val="28"/>
        </w:rPr>
        <w:t>三、题型</w:t>
      </w:r>
      <w:r>
        <w:rPr>
          <w:rFonts w:hint="eastAsia" w:eastAsia="黑体"/>
          <w:b/>
          <w:sz w:val="28"/>
          <w:szCs w:val="28"/>
        </w:rPr>
        <w:t>结构</w:t>
      </w:r>
    </w:p>
    <w:p>
      <w:pPr>
        <w:ind w:firstLine="700" w:firstLineChars="250"/>
        <w:rPr>
          <w:rFonts w:hint="eastAsia" w:ascii="仿宋" w:hAnsi="仿宋" w:eastAsia="仿宋"/>
          <w:sz w:val="28"/>
          <w:szCs w:val="28"/>
        </w:rPr>
      </w:pPr>
      <w:r>
        <w:rPr>
          <w:rFonts w:hint="eastAsia" w:ascii="仿宋" w:hAnsi="仿宋" w:eastAsia="仿宋"/>
          <w:sz w:val="28"/>
          <w:szCs w:val="28"/>
        </w:rPr>
        <w:t>考试包含：选择题、判断题、名词解释、简答题、计算题等题型</w:t>
      </w:r>
      <w:r>
        <w:rPr>
          <w:rFonts w:ascii="仿宋" w:hAnsi="仿宋" w:eastAsia="仿宋"/>
          <w:sz w:val="28"/>
          <w:szCs w:val="28"/>
        </w:rPr>
        <w:t>。</w:t>
      </w:r>
    </w:p>
    <w:p>
      <w:pPr>
        <w:ind w:firstLine="700" w:firstLineChars="250"/>
        <w:rPr>
          <w:rFonts w:ascii="仿宋" w:hAnsi="仿宋" w:eastAsia="仿宋"/>
          <w:sz w:val="28"/>
          <w:szCs w:val="28"/>
        </w:rPr>
      </w:pPr>
    </w:p>
    <w:p>
      <w:pPr>
        <w:pStyle w:val="3"/>
        <w:spacing w:line="240" w:lineRule="auto"/>
        <w:outlineLvl w:val="0"/>
        <w:rPr>
          <w:rFonts w:eastAsia="黑体"/>
          <w:b/>
          <w:sz w:val="28"/>
          <w:szCs w:val="28"/>
        </w:rPr>
      </w:pPr>
      <w:r>
        <w:rPr>
          <w:rFonts w:eastAsia="黑体"/>
          <w:b/>
          <w:sz w:val="28"/>
          <w:szCs w:val="28"/>
        </w:rPr>
        <w:t>四、</w:t>
      </w:r>
      <w:r>
        <w:rPr>
          <w:rFonts w:hint="eastAsia" w:eastAsia="黑体"/>
          <w:b/>
          <w:sz w:val="28"/>
          <w:szCs w:val="28"/>
        </w:rPr>
        <w:t>参考书目</w:t>
      </w:r>
    </w:p>
    <w:p>
      <w:pPr>
        <w:ind w:firstLine="560" w:firstLineChars="200"/>
        <w:rPr>
          <w:rFonts w:eastAsia="仿宋_GB2312"/>
          <w:sz w:val="28"/>
          <w:szCs w:val="28"/>
        </w:rPr>
      </w:pPr>
      <w:r>
        <w:rPr>
          <w:rFonts w:hint="eastAsia" w:eastAsia="仿宋_GB2312"/>
          <w:sz w:val="28"/>
          <w:szCs w:val="28"/>
        </w:rPr>
        <w:t>《西方经济学》、2019年9月第二版、《西方经济学》编写组、高等教育出版社&amp;人民出版社，2019年9月。</w:t>
      </w:r>
    </w:p>
    <w:p>
      <w:pPr>
        <w:rPr>
          <w:rFonts w:hint="eastAsia" w:ascii="仿宋" w:hAnsi="仿宋" w:eastAsia="仿宋"/>
          <w:sz w:val="28"/>
          <w:szCs w:val="28"/>
        </w:rPr>
      </w:pPr>
    </w:p>
    <w:sectPr>
      <w:pgSz w:w="11906" w:h="16838"/>
      <w:pgMar w:top="1440" w:right="1644" w:bottom="156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88"/>
    <w:rsid w:val="0001695D"/>
    <w:rsid w:val="00020CAA"/>
    <w:rsid w:val="00023F91"/>
    <w:rsid w:val="00086642"/>
    <w:rsid w:val="000E4B72"/>
    <w:rsid w:val="00106F28"/>
    <w:rsid w:val="00111FE9"/>
    <w:rsid w:val="00143DA8"/>
    <w:rsid w:val="0016199E"/>
    <w:rsid w:val="00166888"/>
    <w:rsid w:val="001C1697"/>
    <w:rsid w:val="001C1FA0"/>
    <w:rsid w:val="001C3DD9"/>
    <w:rsid w:val="001D4F47"/>
    <w:rsid w:val="001E3987"/>
    <w:rsid w:val="001F7BB4"/>
    <w:rsid w:val="00215954"/>
    <w:rsid w:val="00222EE4"/>
    <w:rsid w:val="00223C41"/>
    <w:rsid w:val="003B26E1"/>
    <w:rsid w:val="003C6C8E"/>
    <w:rsid w:val="00453E32"/>
    <w:rsid w:val="00455326"/>
    <w:rsid w:val="00496B58"/>
    <w:rsid w:val="004A7691"/>
    <w:rsid w:val="004B0FB7"/>
    <w:rsid w:val="004D1746"/>
    <w:rsid w:val="005016CC"/>
    <w:rsid w:val="00515324"/>
    <w:rsid w:val="005354F1"/>
    <w:rsid w:val="00582509"/>
    <w:rsid w:val="00606C16"/>
    <w:rsid w:val="0061465E"/>
    <w:rsid w:val="00620898"/>
    <w:rsid w:val="00661714"/>
    <w:rsid w:val="006658E0"/>
    <w:rsid w:val="00677EE0"/>
    <w:rsid w:val="006D21B4"/>
    <w:rsid w:val="006E1BB6"/>
    <w:rsid w:val="006E5CAE"/>
    <w:rsid w:val="006E6B71"/>
    <w:rsid w:val="006F67BF"/>
    <w:rsid w:val="00703F1E"/>
    <w:rsid w:val="00727452"/>
    <w:rsid w:val="00780E13"/>
    <w:rsid w:val="00792BE0"/>
    <w:rsid w:val="00866FF1"/>
    <w:rsid w:val="0086739F"/>
    <w:rsid w:val="008847BF"/>
    <w:rsid w:val="008D1F46"/>
    <w:rsid w:val="008F1419"/>
    <w:rsid w:val="008F2CA3"/>
    <w:rsid w:val="009107D1"/>
    <w:rsid w:val="0096208D"/>
    <w:rsid w:val="0099125F"/>
    <w:rsid w:val="009B6023"/>
    <w:rsid w:val="009D6E71"/>
    <w:rsid w:val="009E2E31"/>
    <w:rsid w:val="009F65A0"/>
    <w:rsid w:val="00A374CA"/>
    <w:rsid w:val="00A37E16"/>
    <w:rsid w:val="00A43BA2"/>
    <w:rsid w:val="00A43D9B"/>
    <w:rsid w:val="00A56CD9"/>
    <w:rsid w:val="00A72CF2"/>
    <w:rsid w:val="00AB69B1"/>
    <w:rsid w:val="00AC4A18"/>
    <w:rsid w:val="00B01438"/>
    <w:rsid w:val="00B22C44"/>
    <w:rsid w:val="00B31588"/>
    <w:rsid w:val="00B41926"/>
    <w:rsid w:val="00B43D8C"/>
    <w:rsid w:val="00B869A7"/>
    <w:rsid w:val="00C116EC"/>
    <w:rsid w:val="00C14608"/>
    <w:rsid w:val="00C54272"/>
    <w:rsid w:val="00C80450"/>
    <w:rsid w:val="00C9481B"/>
    <w:rsid w:val="00CA503C"/>
    <w:rsid w:val="00CD1B95"/>
    <w:rsid w:val="00CF4FF0"/>
    <w:rsid w:val="00D02F22"/>
    <w:rsid w:val="00D72C90"/>
    <w:rsid w:val="00DD6718"/>
    <w:rsid w:val="00E013CB"/>
    <w:rsid w:val="00E01E4B"/>
    <w:rsid w:val="00E0726C"/>
    <w:rsid w:val="00E10591"/>
    <w:rsid w:val="00E16DF9"/>
    <w:rsid w:val="00E6069C"/>
    <w:rsid w:val="00E92649"/>
    <w:rsid w:val="00ED476C"/>
    <w:rsid w:val="00F216C7"/>
    <w:rsid w:val="00F5485F"/>
    <w:rsid w:val="00F60B5B"/>
    <w:rsid w:val="00F63EAD"/>
    <w:rsid w:val="00F76A8D"/>
    <w:rsid w:val="00FB07CD"/>
    <w:rsid w:val="00FB34F8"/>
    <w:rsid w:val="12066B6B"/>
    <w:rsid w:val="3DFA69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Style w:val="9"/>
      <w:tblCellMar>
        <w:top w:w="0" w:type="dxa"/>
        <w:left w:w="108" w:type="dxa"/>
        <w:bottom w:w="0" w:type="dxa"/>
        <w:right w:w="108" w:type="dxa"/>
      </w:tblCellMar>
    </w:tblPr>
    <w:trPr>
      <w:wBefore w:w="0" w:type="dxa"/>
    </w:trPr>
  </w:style>
  <w:style w:type="paragraph" w:styleId="2">
    <w:name w:val="annotation text"/>
    <w:basedOn w:val="1"/>
    <w:link w:val="17"/>
    <w:semiHidden/>
    <w:unhideWhenUsed/>
    <w:uiPriority w:val="99"/>
    <w:pPr>
      <w:jc w:val="left"/>
    </w:pPr>
    <w:rPr>
      <w:kern w:val="0"/>
      <w:sz w:val="20"/>
    </w:rPr>
  </w:style>
  <w:style w:type="paragraph" w:styleId="3">
    <w:name w:val="Body Text"/>
    <w:basedOn w:val="1"/>
    <w:link w:val="15"/>
    <w:uiPriority w:val="0"/>
    <w:pPr>
      <w:spacing w:line="360" w:lineRule="auto"/>
    </w:pPr>
    <w:rPr>
      <w:kern w:val="0"/>
      <w:sz w:val="24"/>
      <w:szCs w:val="20"/>
    </w:rPr>
  </w:style>
  <w:style w:type="paragraph" w:styleId="4">
    <w:name w:val="Balloon Text"/>
    <w:basedOn w:val="1"/>
    <w:link w:val="16"/>
    <w:semiHidden/>
    <w:unhideWhenUsed/>
    <w:uiPriority w:val="99"/>
    <w:rPr>
      <w:kern w:val="0"/>
      <w:sz w:val="18"/>
      <w:szCs w:val="18"/>
    </w:rPr>
  </w:style>
  <w:style w:type="paragraph" w:styleId="5">
    <w:name w:val="footer"/>
    <w:basedOn w:val="1"/>
    <w:link w:val="22"/>
    <w:unhideWhenUsed/>
    <w:uiPriority w:val="99"/>
    <w:pPr>
      <w:tabs>
        <w:tab w:val="center" w:pos="4153"/>
        <w:tab w:val="right" w:pos="8306"/>
      </w:tabs>
      <w:snapToGrid w:val="0"/>
      <w:jc w:val="left"/>
    </w:pPr>
    <w:rPr>
      <w:sz w:val="18"/>
      <w:szCs w:val="18"/>
    </w:rPr>
  </w:style>
  <w:style w:type="paragraph" w:styleId="6">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8"/>
    <w:semiHidden/>
    <w:unhideWhenUsed/>
    <w:uiPriority w:val="99"/>
    <w:rPr>
      <w:b/>
      <w:bCs/>
    </w:rPr>
  </w:style>
  <w:style w:type="table" w:styleId="10">
    <w:name w:val="Table Grid"/>
    <w:basedOn w:val="9"/>
    <w:uiPriority w:val="39"/>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22"/>
    <w:rPr>
      <w:b/>
      <w:bCs/>
    </w:rPr>
  </w:style>
  <w:style w:type="character" w:styleId="13">
    <w:name w:val="Hyperlink"/>
    <w:unhideWhenUsed/>
    <w:uiPriority w:val="99"/>
    <w:rPr>
      <w:color w:val="0563C1"/>
      <w:u w:val="single"/>
    </w:rPr>
  </w:style>
  <w:style w:type="character" w:styleId="14">
    <w:name w:val="annotation reference"/>
    <w:semiHidden/>
    <w:unhideWhenUsed/>
    <w:uiPriority w:val="99"/>
    <w:rPr>
      <w:sz w:val="21"/>
      <w:szCs w:val="21"/>
    </w:rPr>
  </w:style>
  <w:style w:type="character" w:customStyle="1" w:styleId="15">
    <w:name w:val="正文文本 Char"/>
    <w:link w:val="3"/>
    <w:uiPriority w:val="0"/>
    <w:rPr>
      <w:rFonts w:ascii="Times New Roman" w:hAnsi="Times New Roman" w:eastAsia="宋体" w:cs="Times New Roman"/>
      <w:sz w:val="24"/>
      <w:szCs w:val="20"/>
    </w:rPr>
  </w:style>
  <w:style w:type="character" w:customStyle="1" w:styleId="16">
    <w:name w:val="批注框文本 Char"/>
    <w:link w:val="4"/>
    <w:semiHidden/>
    <w:uiPriority w:val="99"/>
    <w:rPr>
      <w:rFonts w:ascii="Times New Roman" w:hAnsi="Times New Roman" w:eastAsia="宋体" w:cs="Times New Roman"/>
      <w:sz w:val="18"/>
      <w:szCs w:val="18"/>
    </w:rPr>
  </w:style>
  <w:style w:type="character" w:customStyle="1" w:styleId="17">
    <w:name w:val="批注文字 Char"/>
    <w:link w:val="2"/>
    <w:semiHidden/>
    <w:uiPriority w:val="99"/>
    <w:rPr>
      <w:rFonts w:ascii="Times New Roman" w:hAnsi="Times New Roman" w:eastAsia="宋体" w:cs="Times New Roman"/>
      <w:szCs w:val="24"/>
    </w:rPr>
  </w:style>
  <w:style w:type="character" w:customStyle="1" w:styleId="18">
    <w:name w:val="批注主题 Char"/>
    <w:link w:val="8"/>
    <w:semiHidden/>
    <w:uiPriority w:val="99"/>
    <w:rPr>
      <w:rFonts w:ascii="Times New Roman" w:hAnsi="Times New Roman" w:eastAsia="宋体" w:cs="Times New Roman"/>
      <w:b/>
      <w:bCs/>
      <w:szCs w:val="24"/>
    </w:rPr>
  </w:style>
  <w:style w:type="character" w:customStyle="1" w:styleId="19">
    <w:name w:val="Unresolved Mention"/>
    <w:semiHidden/>
    <w:unhideWhenUsed/>
    <w:uiPriority w:val="99"/>
    <w:rPr>
      <w:color w:val="808080"/>
      <w:shd w:val="clear" w:color="auto" w:fill="E6E6E6"/>
    </w:rPr>
  </w:style>
  <w:style w:type="paragraph" w:customStyle="1" w:styleId="20">
    <w:name w:val="reader-word-layer"/>
    <w:basedOn w:val="1"/>
    <w:uiPriority w:val="0"/>
    <w:pPr>
      <w:widowControl/>
      <w:spacing w:before="100" w:beforeAutospacing="1" w:after="100" w:afterAutospacing="1"/>
      <w:jc w:val="left"/>
    </w:pPr>
    <w:rPr>
      <w:rFonts w:ascii="宋体" w:hAnsi="宋体" w:cs="宋体"/>
      <w:kern w:val="0"/>
      <w:sz w:val="24"/>
    </w:rPr>
  </w:style>
  <w:style w:type="character" w:customStyle="1" w:styleId="21">
    <w:name w:val="页眉 字符"/>
    <w:link w:val="6"/>
    <w:uiPriority w:val="99"/>
    <w:rPr>
      <w:rFonts w:ascii="Times New Roman" w:hAnsi="Times New Roman" w:eastAsia="宋体"/>
      <w:kern w:val="2"/>
      <w:sz w:val="18"/>
      <w:szCs w:val="18"/>
    </w:rPr>
  </w:style>
  <w:style w:type="character" w:customStyle="1" w:styleId="22">
    <w:name w:val="页脚 字符"/>
    <w:link w:val="5"/>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中国石油大学</Company>
  <Pages>3</Pages>
  <Words>186</Words>
  <Characters>1062</Characters>
  <Lines>8</Lines>
  <Paragraphs>2</Paragraphs>
  <TotalTime>0</TotalTime>
  <ScaleCrop>false</ScaleCrop>
  <LinksUpToDate>false</LinksUpToDate>
  <CharactersWithSpaces>1246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2023-10-16T12:49:00Z</dcterms:created>
  <dc:creator>Administrator</dc:creator>
  <cp:lastModifiedBy>vertesyuan</cp:lastModifiedBy>
  <cp:lastPrinted>2017-10-18T05:58:00Z</cp:lastPrinted>
  <dcterms:modified xsi:type="dcterms:W3CDTF">2024-05-29T04:41:03Z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4655E9AEC74A4D689936C106C2AC8053_13</vt:lpwstr>
  </property>
</Properties>
</file>