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ind w:left="-2" w:leftChars="-201" w:right="-1" w:hanging="420" w:hangingChars="95"/>
        <w:contextualSpacing/>
        <w:jc w:val="center"/>
        <w:rPr>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pPr>
        <w:spacing w:after="0" w:line="0" w:lineRule="atLeast"/>
        <w:ind w:left="0" w:right="0"/>
        <w:contextualSpacing/>
        <w:rPr>
          <w:rFonts w:hint="eastAsia"/>
          <w:sz w:val="28"/>
          <w:szCs w:val="28"/>
        </w:rPr>
      </w:pPr>
    </w:p>
    <w:p>
      <w:pPr>
        <w:spacing w:after="0" w:line="0" w:lineRule="atLeast"/>
        <w:ind w:left="0" w:right="0"/>
        <w:contextualSpacing/>
        <w:rPr>
          <w:rFonts w:hint="eastAsia"/>
          <w:sz w:val="28"/>
          <w:szCs w:val="28"/>
        </w:rPr>
      </w:pPr>
      <w:r>
        <w:rPr>
          <w:sz w:val="28"/>
          <w:szCs w:val="28"/>
        </w:rPr>
        <w:t>考试科目：</w:t>
      </w:r>
      <w:r>
        <w:rPr>
          <w:rFonts w:hint="eastAsia"/>
          <w:sz w:val="28"/>
          <w:szCs w:val="28"/>
        </w:rPr>
        <w:t>国际金融</w:t>
      </w:r>
    </w:p>
    <w:p>
      <w:pPr>
        <w:spacing w:after="0" w:line="0" w:lineRule="atLeast"/>
        <w:ind w:left="0" w:right="0"/>
        <w:contextualSpacing/>
        <w:rPr>
          <w:sz w:val="28"/>
          <w:szCs w:val="28"/>
        </w:rPr>
      </w:pPr>
    </w:p>
    <w:p>
      <w:pPr>
        <w:pStyle w:val="12"/>
        <w:numPr>
          <w:ilvl w:val="0"/>
          <w:numId w:val="1"/>
        </w:numPr>
        <w:rPr>
          <w:rFonts w:hint="eastAsia" w:ascii="宋体" w:hAnsi="宋体" w:eastAsia="宋体"/>
          <w:szCs w:val="28"/>
        </w:rPr>
      </w:pPr>
      <w:r>
        <w:rPr>
          <w:rFonts w:hint="eastAsia" w:ascii="宋体" w:hAnsi="宋体" w:eastAsia="宋体"/>
          <w:szCs w:val="28"/>
        </w:rPr>
        <w:t>国际货币与金融体系</w:t>
      </w:r>
    </w:p>
    <w:p>
      <w:pPr>
        <w:spacing w:after="0" w:line="0" w:lineRule="atLeast"/>
        <w:ind w:left="0" w:right="0"/>
        <w:contextualSpacing/>
        <w:jc w:val="both"/>
        <w:rPr>
          <w:rFonts w:hint="eastAsia" w:cs="楷体"/>
          <w:b/>
          <w:sz w:val="28"/>
          <w:szCs w:val="28"/>
        </w:rPr>
      </w:pPr>
      <w:r>
        <w:rPr>
          <w:rFonts w:hint="eastAsia" w:cs="楷体"/>
          <w:b/>
          <w:sz w:val="28"/>
          <w:szCs w:val="28"/>
        </w:rPr>
        <w:t>考试内容</w:t>
      </w:r>
    </w:p>
    <w:p>
      <w:pPr>
        <w:spacing w:after="0" w:line="0" w:lineRule="atLeast"/>
        <w:ind w:left="0" w:right="0"/>
        <w:contextualSpacing/>
        <w:jc w:val="both"/>
        <w:rPr>
          <w:sz w:val="28"/>
          <w:szCs w:val="28"/>
        </w:rPr>
      </w:pPr>
      <w:r>
        <w:rPr>
          <w:rFonts w:hint="eastAsia"/>
          <w:sz w:val="28"/>
          <w:szCs w:val="28"/>
        </w:rPr>
        <w:t>国际货币体系的功能 国际货币体系的近代演进 金本位及其基本运行规则 金本位的解体及其原因 金汇兑本位及其运行规则 特里芬悖论 布雷顿森林体系解体及其原因 浮动汇率（固定汇率）制度的利弊 汇率制度选择的决定因素 广场协议 金融危机与国际宏观政策合作  国际宏观政策合作困境最优货币区理论 欧元的建立及其运行效果 离岸金融市场 资本项目自由化及其条件 巴塞尔协议  美元陷阱</w:t>
      </w:r>
    </w:p>
    <w:p>
      <w:pPr>
        <w:spacing w:after="0" w:line="0" w:lineRule="atLeast"/>
        <w:ind w:left="0" w:right="0"/>
        <w:contextualSpacing/>
        <w:jc w:val="both"/>
        <w:rPr>
          <w:sz w:val="28"/>
          <w:szCs w:val="28"/>
        </w:rPr>
      </w:pPr>
    </w:p>
    <w:p>
      <w:pPr>
        <w:spacing w:after="0" w:line="0" w:lineRule="atLeast"/>
        <w:ind w:left="0" w:right="0"/>
        <w:contextualSpacing/>
        <w:jc w:val="both"/>
        <w:rPr>
          <w:b/>
          <w:sz w:val="28"/>
          <w:szCs w:val="28"/>
        </w:rPr>
      </w:pPr>
      <w:r>
        <w:rPr>
          <w:rFonts w:cs="楷体"/>
          <w:b/>
          <w:sz w:val="28"/>
          <w:szCs w:val="28"/>
        </w:rPr>
        <w:t>考试要求</w:t>
      </w:r>
    </w:p>
    <w:p>
      <w:pPr>
        <w:spacing w:after="0" w:line="0" w:lineRule="atLeast"/>
        <w:ind w:left="0" w:right="0"/>
        <w:contextualSpacing/>
        <w:rPr>
          <w:rFonts w:hint="eastAsia"/>
          <w:sz w:val="28"/>
          <w:szCs w:val="28"/>
        </w:rPr>
      </w:pPr>
      <w:r>
        <w:rPr>
          <w:sz w:val="28"/>
          <w:szCs w:val="28"/>
        </w:rPr>
        <w:t>1</w:t>
      </w:r>
      <w:r>
        <w:rPr>
          <w:rFonts w:hint="eastAsia"/>
          <w:sz w:val="28"/>
          <w:szCs w:val="28"/>
        </w:rPr>
        <w:t xml:space="preserve">. </w:t>
      </w:r>
      <w:r>
        <w:rPr>
          <w:sz w:val="28"/>
          <w:szCs w:val="28"/>
        </w:rPr>
        <w:t>理解</w:t>
      </w:r>
      <w:r>
        <w:rPr>
          <w:rFonts w:hint="eastAsia"/>
          <w:sz w:val="28"/>
          <w:szCs w:val="28"/>
        </w:rPr>
        <w:t>国际货币体系的基本矛盾和布雷顿森林体系解体的原因</w:t>
      </w:r>
      <w:r>
        <w:rPr>
          <w:sz w:val="28"/>
          <w:szCs w:val="28"/>
        </w:rPr>
        <w:t>。</w:t>
      </w:r>
    </w:p>
    <w:p>
      <w:pPr>
        <w:spacing w:after="0" w:line="0" w:lineRule="atLeast"/>
        <w:ind w:left="0" w:right="0"/>
        <w:contextualSpacing/>
        <w:rPr>
          <w:rFonts w:hint="eastAsia"/>
          <w:sz w:val="28"/>
          <w:szCs w:val="28"/>
        </w:rPr>
      </w:pPr>
      <w:r>
        <w:rPr>
          <w:rFonts w:hint="eastAsia"/>
          <w:sz w:val="28"/>
          <w:szCs w:val="28"/>
        </w:rPr>
        <w:t>2. 理解美元本位及其影响全球经济运行的内在机理。</w:t>
      </w:r>
    </w:p>
    <w:p>
      <w:pPr>
        <w:spacing w:after="0" w:line="0" w:lineRule="atLeast"/>
        <w:ind w:left="0" w:right="0"/>
        <w:contextualSpacing/>
        <w:rPr>
          <w:sz w:val="28"/>
          <w:szCs w:val="28"/>
        </w:rPr>
      </w:pPr>
      <w:r>
        <w:rPr>
          <w:rFonts w:hint="eastAsia"/>
          <w:sz w:val="28"/>
          <w:szCs w:val="28"/>
        </w:rPr>
        <w:t xml:space="preserve">3. </w:t>
      </w:r>
      <w:r>
        <w:rPr>
          <w:sz w:val="28"/>
          <w:szCs w:val="28"/>
        </w:rPr>
        <w:t>掌握</w:t>
      </w:r>
      <w:r>
        <w:rPr>
          <w:rFonts w:hint="eastAsia"/>
          <w:sz w:val="28"/>
          <w:szCs w:val="28"/>
        </w:rPr>
        <w:t>浮动汇率制度下国际宏观政策协调的基本政策框架及其对不同国家利益的影响</w:t>
      </w:r>
      <w:r>
        <w:rPr>
          <w:sz w:val="28"/>
          <w:szCs w:val="28"/>
        </w:rPr>
        <w:t>。</w:t>
      </w:r>
    </w:p>
    <w:p>
      <w:pPr>
        <w:spacing w:after="0" w:line="0" w:lineRule="atLeast"/>
        <w:ind w:left="0" w:right="0"/>
        <w:contextualSpacing/>
        <w:rPr>
          <w:sz w:val="28"/>
          <w:szCs w:val="28"/>
        </w:rPr>
      </w:pPr>
      <w:r>
        <w:rPr>
          <w:rFonts w:hint="eastAsia"/>
          <w:sz w:val="28"/>
          <w:szCs w:val="28"/>
        </w:rPr>
        <w:t>4. 理解最优货币区理论，了解欧元相对美元的内在缺陷和不足</w:t>
      </w:r>
      <w:r>
        <w:rPr>
          <w:sz w:val="28"/>
          <w:szCs w:val="28"/>
        </w:rPr>
        <w:t>。</w:t>
      </w:r>
    </w:p>
    <w:p>
      <w:pPr>
        <w:spacing w:after="0" w:line="0" w:lineRule="atLeast"/>
        <w:ind w:left="0" w:right="0"/>
        <w:contextualSpacing/>
        <w:rPr>
          <w:rFonts w:hint="eastAsia"/>
          <w:sz w:val="28"/>
          <w:szCs w:val="28"/>
        </w:rPr>
      </w:pPr>
      <w:r>
        <w:rPr>
          <w:rFonts w:hint="eastAsia"/>
          <w:sz w:val="28"/>
          <w:szCs w:val="28"/>
        </w:rPr>
        <w:t>5. 理解开放经济条件下，不同汇率制度对于经济增长与稳定的利弊。</w:t>
      </w:r>
    </w:p>
    <w:p>
      <w:pPr>
        <w:spacing w:after="0" w:line="0" w:lineRule="atLeast"/>
        <w:ind w:left="0" w:right="0"/>
        <w:contextualSpacing/>
        <w:rPr>
          <w:rFonts w:hint="eastAsia"/>
          <w:sz w:val="28"/>
          <w:szCs w:val="28"/>
        </w:rPr>
      </w:pPr>
      <w:r>
        <w:rPr>
          <w:sz w:val="28"/>
          <w:szCs w:val="28"/>
        </w:rPr>
        <w:t xml:space="preserve">6. </w:t>
      </w:r>
      <w:r>
        <w:rPr>
          <w:rFonts w:hint="eastAsia"/>
          <w:sz w:val="28"/>
          <w:szCs w:val="28"/>
        </w:rPr>
        <w:t>了解全球资本市场在金融危机跨国传导中的角色和加强跨国金融监管的必要性。</w:t>
      </w:r>
    </w:p>
    <w:p>
      <w:pPr>
        <w:spacing w:after="0" w:line="0" w:lineRule="atLeast"/>
        <w:ind w:left="0" w:right="0"/>
        <w:contextualSpacing/>
        <w:rPr>
          <w:rFonts w:hint="eastAsia"/>
          <w:sz w:val="28"/>
          <w:szCs w:val="28"/>
        </w:rPr>
      </w:pPr>
      <w:r>
        <w:rPr>
          <w:sz w:val="28"/>
          <w:szCs w:val="28"/>
        </w:rPr>
        <w:t xml:space="preserve">7. </w:t>
      </w:r>
      <w:r>
        <w:rPr>
          <w:rFonts w:hint="eastAsia"/>
          <w:sz w:val="28"/>
          <w:szCs w:val="28"/>
        </w:rPr>
        <w:t>了解巴塞尔资本协议的发展演进及其对当代银行业发展的影响。</w:t>
      </w:r>
    </w:p>
    <w:p>
      <w:pPr>
        <w:spacing w:after="0" w:line="0" w:lineRule="atLeast"/>
        <w:ind w:left="0" w:right="0"/>
        <w:contextualSpacing/>
        <w:rPr>
          <w:rFonts w:hint="eastAsia"/>
          <w:sz w:val="28"/>
          <w:szCs w:val="28"/>
        </w:rPr>
      </w:pPr>
      <w:r>
        <w:rPr>
          <w:rFonts w:hint="eastAsia"/>
          <w:sz w:val="28"/>
          <w:szCs w:val="28"/>
        </w:rPr>
        <w:t>8. 了解国际金融体系改革的主要设想及其所面临的障碍。</w:t>
      </w:r>
    </w:p>
    <w:p>
      <w:pPr>
        <w:spacing w:after="0" w:line="0" w:lineRule="atLeast"/>
        <w:ind w:left="0" w:right="0"/>
        <w:contextualSpacing/>
        <w:rPr>
          <w:rFonts w:hint="eastAsia"/>
          <w:sz w:val="28"/>
          <w:szCs w:val="28"/>
        </w:rPr>
      </w:pPr>
      <w:r>
        <w:rPr>
          <w:sz w:val="28"/>
          <w:szCs w:val="28"/>
        </w:rPr>
        <w:t xml:space="preserve">9. </w:t>
      </w:r>
      <w:r>
        <w:rPr>
          <w:rFonts w:hint="eastAsia"/>
          <w:sz w:val="28"/>
          <w:szCs w:val="28"/>
        </w:rPr>
        <w:t>理解中国国际储备管理的困境与美元陷阱的涵义。</w:t>
      </w:r>
    </w:p>
    <w:p>
      <w:pPr>
        <w:pStyle w:val="12"/>
        <w:rPr>
          <w:rFonts w:hint="eastAsia" w:ascii="宋体" w:hAnsi="宋体" w:eastAsia="宋体"/>
          <w:szCs w:val="28"/>
        </w:rPr>
      </w:pPr>
    </w:p>
    <w:p>
      <w:pPr>
        <w:pStyle w:val="12"/>
        <w:rPr>
          <w:rFonts w:hint="eastAsia" w:ascii="宋体" w:hAnsi="宋体" w:eastAsia="宋体"/>
          <w:szCs w:val="28"/>
        </w:rPr>
      </w:pPr>
      <w:r>
        <w:rPr>
          <w:rFonts w:hint="eastAsia" w:ascii="宋体" w:hAnsi="宋体" w:eastAsia="宋体"/>
          <w:szCs w:val="28"/>
        </w:rPr>
        <w:t>二、汇率与大宗商品价格决定</w:t>
      </w:r>
    </w:p>
    <w:p>
      <w:pPr>
        <w:spacing w:after="0" w:line="0" w:lineRule="atLeast"/>
        <w:ind w:left="0" w:right="0"/>
        <w:contextualSpacing/>
        <w:rPr>
          <w:rFonts w:hint="eastAsia" w:cs="楷体"/>
          <w:b/>
          <w:sz w:val="28"/>
          <w:szCs w:val="28"/>
        </w:rPr>
      </w:pPr>
      <w:r>
        <w:rPr>
          <w:rFonts w:hint="eastAsia" w:cs="楷体"/>
          <w:b/>
          <w:sz w:val="28"/>
          <w:szCs w:val="28"/>
        </w:rPr>
        <w:t>考试内容</w:t>
      </w:r>
    </w:p>
    <w:p>
      <w:pPr>
        <w:spacing w:after="0" w:line="0" w:lineRule="atLeast"/>
        <w:ind w:left="0" w:right="0"/>
        <w:contextualSpacing/>
        <w:rPr>
          <w:rFonts w:hint="eastAsia"/>
          <w:sz w:val="28"/>
          <w:szCs w:val="28"/>
        </w:rPr>
      </w:pPr>
      <w:r>
        <w:rPr>
          <w:rFonts w:hint="eastAsia"/>
          <w:sz w:val="28"/>
          <w:szCs w:val="28"/>
        </w:rPr>
        <w:t>汇率 、实际汇率 有效汇率 汇率与外汇资产需求 短期货币冲击与汇率——超调理论 长期价格与汇率—购买力平价理论 资产组合平衡理论 货币主义汇率决定理论  国际利差与汇率—利率平价说 货币政策、财政政策与汇率 大宗商品</w:t>
      </w:r>
    </w:p>
    <w:p>
      <w:pPr>
        <w:spacing w:after="0" w:line="0" w:lineRule="atLeast"/>
        <w:ind w:left="0" w:right="0"/>
        <w:contextualSpacing/>
        <w:rPr>
          <w:rFonts w:hint="eastAsia"/>
          <w:sz w:val="28"/>
          <w:szCs w:val="28"/>
        </w:rPr>
      </w:pPr>
    </w:p>
    <w:p>
      <w:pPr>
        <w:spacing w:after="0" w:line="0" w:lineRule="atLeast"/>
        <w:ind w:left="0" w:right="0"/>
        <w:contextualSpacing/>
        <w:rPr>
          <w:b/>
          <w:sz w:val="28"/>
          <w:szCs w:val="28"/>
        </w:rPr>
      </w:pPr>
      <w:r>
        <w:rPr>
          <w:rFonts w:cs="楷体"/>
          <w:b/>
          <w:sz w:val="28"/>
          <w:szCs w:val="28"/>
        </w:rPr>
        <w:t>考试要求</w:t>
      </w:r>
    </w:p>
    <w:p>
      <w:pPr>
        <w:spacing w:after="0" w:line="0" w:lineRule="atLeast"/>
        <w:ind w:left="0" w:right="0"/>
        <w:contextualSpacing/>
        <w:rPr>
          <w:rFonts w:hint="eastAsia"/>
          <w:sz w:val="28"/>
          <w:szCs w:val="28"/>
        </w:rPr>
      </w:pPr>
      <w:r>
        <w:rPr>
          <w:rFonts w:hint="eastAsia"/>
          <w:sz w:val="28"/>
          <w:szCs w:val="28"/>
        </w:rPr>
        <w:t>1. 理解汇率、实际汇率、有效汇率等不同汇率概念及其不同经济涵义。</w:t>
      </w:r>
    </w:p>
    <w:p>
      <w:pPr>
        <w:spacing w:after="0" w:line="0" w:lineRule="atLeast"/>
        <w:ind w:left="0" w:right="0"/>
        <w:contextualSpacing/>
        <w:rPr>
          <w:sz w:val="28"/>
          <w:szCs w:val="28"/>
        </w:rPr>
      </w:pPr>
      <w:r>
        <w:rPr>
          <w:sz w:val="28"/>
          <w:szCs w:val="28"/>
        </w:rPr>
        <w:t xml:space="preserve">2. </w:t>
      </w:r>
      <w:r>
        <w:rPr>
          <w:rFonts w:hint="eastAsia"/>
          <w:sz w:val="28"/>
          <w:szCs w:val="28"/>
        </w:rPr>
        <w:t>掌握汇率决定的购买力平价理论、货币主义理论、资产组合平衡理论、利率评价说、超调理论的基本内容、政策涵义和局限。</w:t>
      </w:r>
    </w:p>
    <w:p>
      <w:pPr>
        <w:spacing w:after="0" w:line="0" w:lineRule="atLeast"/>
        <w:ind w:left="0" w:right="0"/>
        <w:contextualSpacing/>
        <w:rPr>
          <w:rFonts w:hint="eastAsia"/>
          <w:sz w:val="28"/>
          <w:szCs w:val="28"/>
        </w:rPr>
      </w:pPr>
      <w:r>
        <w:rPr>
          <w:sz w:val="28"/>
          <w:szCs w:val="28"/>
        </w:rPr>
        <w:t xml:space="preserve">3. </w:t>
      </w:r>
      <w:r>
        <w:rPr>
          <w:rFonts w:hint="eastAsia"/>
          <w:sz w:val="28"/>
          <w:szCs w:val="28"/>
        </w:rPr>
        <w:t>掌握货币政策、财政政策对汇率的影响及政策传导机制。</w:t>
      </w:r>
    </w:p>
    <w:p>
      <w:pPr>
        <w:spacing w:after="0" w:line="0" w:lineRule="atLeast"/>
        <w:ind w:left="0" w:right="0"/>
        <w:contextualSpacing/>
        <w:rPr>
          <w:rFonts w:hint="eastAsia"/>
          <w:sz w:val="28"/>
          <w:szCs w:val="28"/>
        </w:rPr>
      </w:pPr>
      <w:r>
        <w:rPr>
          <w:sz w:val="28"/>
          <w:szCs w:val="28"/>
        </w:rPr>
        <w:t xml:space="preserve">4. </w:t>
      </w:r>
      <w:r>
        <w:rPr>
          <w:rFonts w:hint="eastAsia"/>
          <w:sz w:val="28"/>
          <w:szCs w:val="28"/>
        </w:rPr>
        <w:t>了解均衡汇率的决定机理及其与一国名义、实际汇率波动的关系。</w:t>
      </w:r>
    </w:p>
    <w:p>
      <w:pPr>
        <w:spacing w:after="0" w:line="0" w:lineRule="atLeast"/>
        <w:ind w:left="0" w:right="0"/>
        <w:contextualSpacing/>
        <w:rPr>
          <w:rFonts w:hint="eastAsia"/>
          <w:sz w:val="28"/>
          <w:szCs w:val="28"/>
        </w:rPr>
      </w:pPr>
      <w:r>
        <w:rPr>
          <w:sz w:val="28"/>
          <w:szCs w:val="28"/>
        </w:rPr>
        <w:t>5.</w:t>
      </w:r>
      <w:r>
        <w:rPr>
          <w:rFonts w:hint="eastAsia"/>
          <w:sz w:val="28"/>
          <w:szCs w:val="28"/>
        </w:rPr>
        <w:t xml:space="preserve"> 掌握主要大宗商品的价格决定机理，理解关键货币汇率、供给需求价格弹性、国际政治因素对大宗商品价格的影响。</w:t>
      </w:r>
    </w:p>
    <w:p>
      <w:pPr>
        <w:spacing w:after="0" w:line="0" w:lineRule="atLeast"/>
        <w:ind w:left="0" w:right="0"/>
        <w:contextualSpacing/>
        <w:rPr>
          <w:rFonts w:hint="eastAsia"/>
          <w:b/>
          <w:sz w:val="28"/>
          <w:szCs w:val="28"/>
        </w:rPr>
      </w:pPr>
    </w:p>
    <w:p>
      <w:pPr>
        <w:spacing w:after="0" w:line="0" w:lineRule="atLeast"/>
        <w:ind w:left="0" w:right="0"/>
        <w:contextualSpacing/>
        <w:rPr>
          <w:rFonts w:hint="eastAsia"/>
          <w:b/>
          <w:sz w:val="28"/>
          <w:szCs w:val="28"/>
        </w:rPr>
      </w:pPr>
      <w:r>
        <w:rPr>
          <w:rFonts w:hint="eastAsia"/>
          <w:b/>
          <w:sz w:val="28"/>
          <w:szCs w:val="28"/>
        </w:rPr>
        <w:t>三、国际收支决定</w:t>
      </w:r>
    </w:p>
    <w:p>
      <w:pPr>
        <w:spacing w:after="0" w:line="0" w:lineRule="atLeast"/>
        <w:ind w:left="0" w:right="0"/>
        <w:contextualSpacing/>
        <w:rPr>
          <w:b/>
          <w:sz w:val="28"/>
          <w:szCs w:val="28"/>
        </w:rPr>
      </w:pPr>
      <w:r>
        <w:rPr>
          <w:rFonts w:cs="楷体"/>
          <w:b/>
          <w:sz w:val="28"/>
          <w:szCs w:val="28"/>
        </w:rPr>
        <w:t>考试内容</w:t>
      </w:r>
    </w:p>
    <w:p>
      <w:pPr>
        <w:spacing w:after="0" w:line="0" w:lineRule="atLeast"/>
        <w:ind w:left="0" w:right="0"/>
        <w:contextualSpacing/>
        <w:rPr>
          <w:sz w:val="28"/>
          <w:szCs w:val="28"/>
        </w:rPr>
      </w:pPr>
      <w:r>
        <w:rPr>
          <w:rFonts w:hint="eastAsia"/>
          <w:sz w:val="28"/>
          <w:szCs w:val="28"/>
        </w:rPr>
        <w:t>国民收入账户 开放经济中国民收入账户 国际收支恒等式 国际收支平衡表的内容、结构与分析方法 国际收支失衡的判定 国际收支的决定 马歇尔-勒纳条件 哈伯格条件 劳森-梅茨勒-哈伯格效应 全球失衡 中美贸易失衡</w:t>
      </w:r>
    </w:p>
    <w:p>
      <w:pPr>
        <w:spacing w:after="0" w:line="0" w:lineRule="atLeast"/>
        <w:ind w:left="0" w:right="0"/>
        <w:contextualSpacing/>
        <w:rPr>
          <w:sz w:val="28"/>
          <w:szCs w:val="28"/>
        </w:rPr>
      </w:pPr>
    </w:p>
    <w:p>
      <w:pPr>
        <w:spacing w:after="0" w:line="0" w:lineRule="atLeast"/>
        <w:ind w:left="0" w:right="0"/>
        <w:contextualSpacing/>
        <w:rPr>
          <w:b/>
          <w:sz w:val="28"/>
          <w:szCs w:val="28"/>
        </w:rPr>
      </w:pPr>
      <w:r>
        <w:rPr>
          <w:rFonts w:cs="楷体"/>
          <w:b/>
          <w:sz w:val="28"/>
          <w:szCs w:val="28"/>
        </w:rPr>
        <w:t>考试要求</w:t>
      </w:r>
    </w:p>
    <w:p>
      <w:pPr>
        <w:spacing w:after="0" w:line="0" w:lineRule="atLeast"/>
        <w:ind w:left="0" w:right="0"/>
        <w:contextualSpacing/>
        <w:rPr>
          <w:sz w:val="28"/>
          <w:szCs w:val="28"/>
        </w:rPr>
      </w:pPr>
      <w:r>
        <w:rPr>
          <w:sz w:val="28"/>
          <w:szCs w:val="28"/>
        </w:rPr>
        <w:t>1</w:t>
      </w:r>
      <w:r>
        <w:rPr>
          <w:rFonts w:hint="eastAsia"/>
          <w:sz w:val="28"/>
          <w:szCs w:val="28"/>
        </w:rPr>
        <w:t xml:space="preserve">. </w:t>
      </w:r>
      <w:r>
        <w:rPr>
          <w:sz w:val="28"/>
          <w:szCs w:val="28"/>
        </w:rPr>
        <w:t>理解</w:t>
      </w:r>
      <w:r>
        <w:rPr>
          <w:rFonts w:hint="eastAsia"/>
          <w:sz w:val="28"/>
          <w:szCs w:val="28"/>
        </w:rPr>
        <w:t>国民收入账户的结构和国民收入统计的三种方法及其相互关系</w:t>
      </w:r>
      <w:r>
        <w:rPr>
          <w:sz w:val="28"/>
          <w:szCs w:val="28"/>
        </w:rPr>
        <w:t>。</w:t>
      </w:r>
    </w:p>
    <w:p>
      <w:pPr>
        <w:spacing w:after="0" w:line="0" w:lineRule="atLeast"/>
        <w:ind w:left="0" w:right="0"/>
        <w:contextualSpacing/>
        <w:rPr>
          <w:rFonts w:hint="eastAsia"/>
          <w:sz w:val="28"/>
          <w:szCs w:val="28"/>
        </w:rPr>
      </w:pPr>
      <w:r>
        <w:rPr>
          <w:sz w:val="28"/>
          <w:szCs w:val="28"/>
        </w:rPr>
        <w:t>2</w:t>
      </w:r>
      <w:r>
        <w:rPr>
          <w:rFonts w:hint="eastAsia"/>
          <w:sz w:val="28"/>
          <w:szCs w:val="28"/>
        </w:rPr>
        <w:t>. 理解国内收支与国际收支的关系。</w:t>
      </w:r>
    </w:p>
    <w:p>
      <w:pPr>
        <w:spacing w:after="0" w:line="0" w:lineRule="atLeast"/>
        <w:ind w:left="0" w:right="0"/>
        <w:contextualSpacing/>
        <w:rPr>
          <w:rFonts w:hint="eastAsia"/>
          <w:sz w:val="28"/>
          <w:szCs w:val="28"/>
        </w:rPr>
      </w:pPr>
      <w:r>
        <w:rPr>
          <w:rFonts w:hint="eastAsia"/>
          <w:sz w:val="28"/>
          <w:szCs w:val="28"/>
        </w:rPr>
        <w:t>3. 理解国际收支状况的分析判定方法，了解热钱流入流出的渠道及在国际收支平衡表上的表征。</w:t>
      </w:r>
    </w:p>
    <w:p>
      <w:pPr>
        <w:spacing w:after="0" w:line="0" w:lineRule="atLeast"/>
        <w:ind w:left="0" w:right="0"/>
        <w:contextualSpacing/>
        <w:rPr>
          <w:rFonts w:hint="eastAsia"/>
          <w:sz w:val="28"/>
          <w:szCs w:val="28"/>
        </w:rPr>
      </w:pPr>
      <w:r>
        <w:rPr>
          <w:rFonts w:hint="eastAsia"/>
          <w:sz w:val="28"/>
          <w:szCs w:val="28"/>
        </w:rPr>
        <w:t>4. 掌握国际收支决定的剑桥分析法、货币分析法，理解货币政策、财政政策对国际收支的影响及其作用机理。</w:t>
      </w:r>
    </w:p>
    <w:p>
      <w:pPr>
        <w:spacing w:after="0" w:line="0" w:lineRule="atLeast"/>
        <w:ind w:left="0" w:right="0"/>
        <w:contextualSpacing/>
        <w:rPr>
          <w:rFonts w:hint="eastAsia"/>
          <w:sz w:val="28"/>
          <w:szCs w:val="28"/>
        </w:rPr>
      </w:pPr>
      <w:r>
        <w:rPr>
          <w:rFonts w:hint="eastAsia"/>
          <w:sz w:val="28"/>
          <w:szCs w:val="28"/>
        </w:rPr>
        <w:t>5. 掌握国际收支决定的弹性分析、吸收分析法，理解汇率变动过程中收入、贸易条件变化对国际收支的影响。</w:t>
      </w:r>
    </w:p>
    <w:p>
      <w:pPr>
        <w:spacing w:after="0" w:line="0" w:lineRule="atLeast"/>
        <w:ind w:left="0" w:right="0"/>
        <w:contextualSpacing/>
        <w:rPr>
          <w:rFonts w:hint="eastAsia"/>
          <w:sz w:val="28"/>
          <w:szCs w:val="28"/>
        </w:rPr>
      </w:pPr>
      <w:r>
        <w:rPr>
          <w:rFonts w:hint="eastAsia"/>
          <w:sz w:val="28"/>
          <w:szCs w:val="28"/>
        </w:rPr>
        <w:t>6. 理解全球失衡的成因，理解美国对华人民币施压的经济学基础及其局限，掌握汇率在中美贸易失衡中的影响。</w:t>
      </w:r>
    </w:p>
    <w:p>
      <w:pPr>
        <w:spacing w:after="0" w:line="0" w:lineRule="atLeast"/>
        <w:ind w:left="0" w:right="0"/>
        <w:contextualSpacing/>
        <w:rPr>
          <w:rFonts w:hint="eastAsia"/>
          <w:b/>
          <w:sz w:val="28"/>
          <w:szCs w:val="28"/>
        </w:rPr>
      </w:pPr>
    </w:p>
    <w:p>
      <w:pPr>
        <w:spacing w:after="0" w:line="0" w:lineRule="atLeast"/>
        <w:ind w:left="0" w:right="0"/>
        <w:contextualSpacing/>
        <w:rPr>
          <w:rFonts w:hint="eastAsia"/>
          <w:b/>
          <w:sz w:val="28"/>
          <w:szCs w:val="28"/>
        </w:rPr>
      </w:pPr>
      <w:r>
        <w:rPr>
          <w:rFonts w:hint="eastAsia"/>
          <w:b/>
          <w:sz w:val="28"/>
          <w:szCs w:val="28"/>
        </w:rPr>
        <w:t>四、开放经济宏观经济学</w:t>
      </w:r>
    </w:p>
    <w:p>
      <w:pPr>
        <w:spacing w:after="0" w:line="0" w:lineRule="atLeast"/>
        <w:ind w:left="0" w:right="0"/>
        <w:contextualSpacing/>
        <w:rPr>
          <w:rFonts w:hint="eastAsia" w:cs="楷体"/>
          <w:b/>
          <w:sz w:val="28"/>
          <w:szCs w:val="28"/>
        </w:rPr>
      </w:pPr>
      <w:r>
        <w:rPr>
          <w:rFonts w:hint="eastAsia" w:cs="楷体"/>
          <w:b/>
          <w:sz w:val="28"/>
          <w:szCs w:val="28"/>
        </w:rPr>
        <w:t>考试内容</w:t>
      </w:r>
    </w:p>
    <w:p>
      <w:pPr>
        <w:spacing w:after="0" w:line="0" w:lineRule="atLeast"/>
        <w:ind w:left="0" w:right="0"/>
        <w:contextualSpacing/>
        <w:rPr>
          <w:rFonts w:hint="eastAsia"/>
          <w:sz w:val="28"/>
          <w:szCs w:val="28"/>
        </w:rPr>
      </w:pPr>
      <w:r>
        <w:rPr>
          <w:rFonts w:hint="eastAsia"/>
          <w:sz w:val="28"/>
          <w:szCs w:val="28"/>
        </w:rPr>
        <w:t xml:space="preserve">固定汇率制度下的中央银行干预与货币供给 有管理浮动与冲销干预 蒙代尔—弗莱明模型 克鲁格曼不可能三角 米德冲突 蒙代尔分派法则 斯旺模型 量化宽松货币政策 安倍经济学 流动性陷阱 </w:t>
      </w:r>
    </w:p>
    <w:p>
      <w:pPr>
        <w:spacing w:after="0" w:line="0" w:lineRule="atLeast"/>
        <w:ind w:left="0" w:right="0"/>
        <w:contextualSpacing/>
        <w:rPr>
          <w:rFonts w:hint="eastAsia" w:cs="楷体"/>
          <w:b/>
          <w:sz w:val="28"/>
          <w:szCs w:val="28"/>
        </w:rPr>
      </w:pPr>
    </w:p>
    <w:p>
      <w:pPr>
        <w:spacing w:after="0" w:line="0" w:lineRule="atLeast"/>
        <w:ind w:left="0" w:right="0"/>
        <w:contextualSpacing/>
        <w:rPr>
          <w:rFonts w:hint="eastAsia" w:cs="楷体"/>
          <w:b/>
          <w:sz w:val="28"/>
          <w:szCs w:val="28"/>
        </w:rPr>
      </w:pPr>
      <w:r>
        <w:rPr>
          <w:rFonts w:hint="eastAsia" w:cs="楷体"/>
          <w:b/>
          <w:sz w:val="28"/>
          <w:szCs w:val="28"/>
        </w:rPr>
        <w:t>考试要求</w:t>
      </w:r>
    </w:p>
    <w:p>
      <w:pPr>
        <w:spacing w:after="0" w:line="0" w:lineRule="atLeast"/>
        <w:ind w:left="0" w:right="0"/>
        <w:contextualSpacing/>
        <w:rPr>
          <w:rFonts w:hint="eastAsia"/>
          <w:sz w:val="28"/>
          <w:szCs w:val="28"/>
        </w:rPr>
      </w:pPr>
      <w:r>
        <w:rPr>
          <w:rFonts w:hint="eastAsia"/>
          <w:sz w:val="28"/>
          <w:szCs w:val="28"/>
        </w:rPr>
        <w:t>1. 理解小型开放经济体的特征，掌握BP曲线不同斜率的成因和经济学涵义。</w:t>
      </w:r>
    </w:p>
    <w:p>
      <w:pPr>
        <w:spacing w:after="0" w:line="0" w:lineRule="atLeast"/>
        <w:ind w:left="0" w:right="0"/>
        <w:contextualSpacing/>
        <w:rPr>
          <w:rFonts w:hint="eastAsia"/>
          <w:sz w:val="28"/>
          <w:szCs w:val="28"/>
        </w:rPr>
      </w:pPr>
      <w:r>
        <w:rPr>
          <w:rFonts w:hint="eastAsia"/>
          <w:sz w:val="28"/>
          <w:szCs w:val="28"/>
        </w:rPr>
        <w:t>2. 理解小型开放经济条件下的货币政策、财政政策有效性。</w:t>
      </w:r>
    </w:p>
    <w:p>
      <w:pPr>
        <w:spacing w:after="0" w:line="0" w:lineRule="atLeast"/>
        <w:ind w:left="0" w:right="0"/>
        <w:contextualSpacing/>
        <w:rPr>
          <w:rFonts w:hint="eastAsia"/>
          <w:sz w:val="28"/>
          <w:szCs w:val="28"/>
        </w:rPr>
      </w:pPr>
      <w:r>
        <w:rPr>
          <w:rFonts w:hint="eastAsia"/>
          <w:sz w:val="28"/>
          <w:szCs w:val="28"/>
        </w:rPr>
        <w:t xml:space="preserve">3. </w:t>
      </w:r>
      <w:r>
        <w:rPr>
          <w:sz w:val="28"/>
          <w:szCs w:val="28"/>
        </w:rPr>
        <w:t>理解</w:t>
      </w:r>
      <w:r>
        <w:rPr>
          <w:rFonts w:hint="eastAsia"/>
          <w:sz w:val="28"/>
          <w:szCs w:val="28"/>
        </w:rPr>
        <w:t>克鲁格曼不可能三角的成因。</w:t>
      </w:r>
    </w:p>
    <w:p>
      <w:pPr>
        <w:spacing w:after="0" w:line="0" w:lineRule="atLeast"/>
        <w:ind w:left="0" w:right="0"/>
        <w:contextualSpacing/>
        <w:rPr>
          <w:sz w:val="28"/>
          <w:szCs w:val="28"/>
        </w:rPr>
      </w:pPr>
      <w:r>
        <w:rPr>
          <w:rFonts w:hint="eastAsia"/>
          <w:sz w:val="28"/>
          <w:szCs w:val="28"/>
        </w:rPr>
        <w:t>4. 理解米德冲突的成因，掌握蒙代尔分派法则、斯旺模型的提出背景、政策效果及其局限。</w:t>
      </w:r>
    </w:p>
    <w:p>
      <w:pPr>
        <w:spacing w:after="0" w:line="0" w:lineRule="atLeast"/>
        <w:ind w:left="0" w:right="0"/>
        <w:contextualSpacing/>
        <w:jc w:val="both"/>
        <w:rPr>
          <w:rFonts w:hint="eastAsia"/>
          <w:sz w:val="28"/>
          <w:szCs w:val="28"/>
        </w:rPr>
      </w:pPr>
      <w:r>
        <w:rPr>
          <w:rFonts w:hint="eastAsia"/>
          <w:sz w:val="28"/>
          <w:szCs w:val="28"/>
        </w:rPr>
        <w:t xml:space="preserve">5. </w:t>
      </w:r>
      <w:r>
        <w:rPr>
          <w:sz w:val="28"/>
          <w:szCs w:val="28"/>
        </w:rPr>
        <w:t>了解</w:t>
      </w:r>
      <w:r>
        <w:rPr>
          <w:rFonts w:hint="eastAsia"/>
          <w:sz w:val="28"/>
          <w:szCs w:val="28"/>
        </w:rPr>
        <w:t>固定汇率制度下中央银行汇率干预的宏观经济后果，理解冲销的有效性及其经济成本。</w:t>
      </w:r>
    </w:p>
    <w:p>
      <w:pPr>
        <w:spacing w:after="0" w:line="0" w:lineRule="atLeast"/>
        <w:ind w:left="0" w:right="0"/>
        <w:contextualSpacing/>
        <w:jc w:val="both"/>
        <w:rPr>
          <w:rFonts w:hint="eastAsia"/>
          <w:sz w:val="28"/>
          <w:szCs w:val="28"/>
        </w:rPr>
      </w:pPr>
      <w:r>
        <w:rPr>
          <w:rFonts w:hint="eastAsia"/>
          <w:sz w:val="28"/>
          <w:szCs w:val="28"/>
        </w:rPr>
        <w:t>6. 理解欧美日央行量化宽松政策的不同操作模式、政策传导机制及其有效性。</w:t>
      </w:r>
    </w:p>
    <w:p>
      <w:pPr>
        <w:spacing w:after="0" w:line="0" w:lineRule="atLeast"/>
        <w:ind w:left="0" w:right="0"/>
        <w:contextualSpacing/>
        <w:jc w:val="both"/>
        <w:rPr>
          <w:rFonts w:hint="eastAsia"/>
          <w:sz w:val="28"/>
          <w:szCs w:val="28"/>
        </w:rPr>
      </w:pPr>
      <w:r>
        <w:rPr>
          <w:sz w:val="28"/>
          <w:szCs w:val="28"/>
        </w:rPr>
        <w:t xml:space="preserve">7. </w:t>
      </w:r>
      <w:r>
        <w:rPr>
          <w:rFonts w:hint="eastAsia"/>
          <w:sz w:val="28"/>
          <w:szCs w:val="28"/>
        </w:rPr>
        <w:t>理解安倍经济学的内容、政策有效性，理解美国量化宽松政策退出可能对国际经济产生的影响。</w:t>
      </w:r>
    </w:p>
    <w:p>
      <w:pPr>
        <w:spacing w:after="0" w:line="0" w:lineRule="atLeast"/>
        <w:ind w:left="0" w:right="0"/>
        <w:contextualSpacing/>
        <w:jc w:val="both"/>
        <w:rPr>
          <w:rFonts w:hint="eastAsia"/>
          <w:sz w:val="28"/>
          <w:szCs w:val="28"/>
        </w:rPr>
      </w:pPr>
      <w:r>
        <w:rPr>
          <w:sz w:val="28"/>
          <w:szCs w:val="28"/>
        </w:rPr>
        <w:t xml:space="preserve">8. </w:t>
      </w:r>
      <w:r>
        <w:rPr>
          <w:rFonts w:hint="eastAsia"/>
          <w:sz w:val="28"/>
          <w:szCs w:val="28"/>
        </w:rPr>
        <w:t>理解流动性陷阱的形成机理及其政策应对。</w:t>
      </w:r>
    </w:p>
    <w:p>
      <w:pPr>
        <w:spacing w:after="0" w:line="0" w:lineRule="atLeast"/>
        <w:ind w:left="0" w:right="0"/>
        <w:contextualSpacing/>
        <w:jc w:val="both"/>
        <w:rPr>
          <w:sz w:val="28"/>
          <w:szCs w:val="28"/>
        </w:rPr>
      </w:pPr>
    </w:p>
    <w:p>
      <w:pPr>
        <w:spacing w:after="0" w:line="0" w:lineRule="atLeast"/>
        <w:ind w:left="0" w:right="0"/>
        <w:contextualSpacing/>
        <w:rPr>
          <w:sz w:val="28"/>
          <w:szCs w:val="28"/>
        </w:rPr>
      </w:pPr>
    </w:p>
    <w:p>
      <w:pPr>
        <w:spacing w:after="0" w:line="0" w:lineRule="atLeast"/>
        <w:ind w:left="0" w:right="0"/>
        <w:contextualSpacing/>
        <w:rPr>
          <w:rFonts w:hint="eastAsia"/>
          <w:b/>
          <w:sz w:val="28"/>
          <w:szCs w:val="28"/>
        </w:rPr>
      </w:pPr>
      <w:r>
        <w:rPr>
          <w:rFonts w:hint="eastAsia"/>
          <w:b/>
          <w:sz w:val="28"/>
          <w:szCs w:val="28"/>
        </w:rPr>
        <w:t>五、货币与金融危机</w:t>
      </w:r>
    </w:p>
    <w:p>
      <w:pPr>
        <w:spacing w:after="0" w:line="0" w:lineRule="atLeast"/>
        <w:ind w:left="0" w:right="0"/>
        <w:contextualSpacing/>
        <w:rPr>
          <w:rFonts w:hint="eastAsia" w:cs="楷体"/>
          <w:b/>
          <w:sz w:val="28"/>
          <w:szCs w:val="28"/>
        </w:rPr>
      </w:pPr>
      <w:r>
        <w:rPr>
          <w:rFonts w:hint="eastAsia" w:cs="楷体"/>
          <w:b/>
          <w:sz w:val="28"/>
          <w:szCs w:val="28"/>
        </w:rPr>
        <w:t>考试内容</w:t>
      </w:r>
    </w:p>
    <w:p>
      <w:pPr>
        <w:spacing w:after="0" w:line="0" w:lineRule="atLeast"/>
        <w:ind w:left="0" w:right="0"/>
        <w:contextualSpacing/>
        <w:rPr>
          <w:rFonts w:hint="eastAsia"/>
          <w:sz w:val="28"/>
          <w:szCs w:val="28"/>
        </w:rPr>
      </w:pPr>
      <w:r>
        <w:rPr>
          <w:rFonts w:hint="eastAsia"/>
          <w:sz w:val="28"/>
          <w:szCs w:val="28"/>
        </w:rPr>
        <w:t xml:space="preserve">货币危机 债务危机 金融（银行危机）债务通缩 资产负债表衰退 明斯基时刻 </w:t>
      </w:r>
    </w:p>
    <w:p>
      <w:pPr>
        <w:spacing w:after="0" w:line="0" w:lineRule="atLeast"/>
        <w:ind w:left="0" w:right="0"/>
        <w:contextualSpacing/>
        <w:rPr>
          <w:rFonts w:hint="eastAsia" w:cs="楷体"/>
          <w:b/>
          <w:sz w:val="28"/>
          <w:szCs w:val="28"/>
        </w:rPr>
      </w:pPr>
    </w:p>
    <w:p>
      <w:pPr>
        <w:spacing w:after="0" w:line="0" w:lineRule="atLeast"/>
        <w:ind w:left="0" w:right="0"/>
        <w:contextualSpacing/>
        <w:rPr>
          <w:rFonts w:hint="eastAsia" w:cs="楷体"/>
          <w:b/>
          <w:sz w:val="28"/>
          <w:szCs w:val="28"/>
        </w:rPr>
      </w:pPr>
      <w:r>
        <w:rPr>
          <w:rFonts w:hint="eastAsia" w:cs="楷体"/>
          <w:b/>
          <w:sz w:val="28"/>
          <w:szCs w:val="28"/>
        </w:rPr>
        <w:t>考试要求</w:t>
      </w:r>
    </w:p>
    <w:p>
      <w:pPr>
        <w:spacing w:after="0" w:line="0" w:lineRule="atLeast"/>
        <w:ind w:left="0" w:right="0"/>
        <w:contextualSpacing/>
        <w:rPr>
          <w:rFonts w:hint="eastAsia"/>
          <w:sz w:val="28"/>
          <w:szCs w:val="28"/>
        </w:rPr>
      </w:pPr>
      <w:r>
        <w:rPr>
          <w:sz w:val="28"/>
          <w:szCs w:val="28"/>
        </w:rPr>
        <w:t>1.</w:t>
      </w:r>
      <w:r>
        <w:rPr>
          <w:rFonts w:hint="eastAsia"/>
          <w:sz w:val="28"/>
          <w:szCs w:val="28"/>
        </w:rPr>
        <w:t xml:space="preserve"> 理解货币危机、债务危机、金融危机的不同涵义及其相互关系。</w:t>
      </w:r>
    </w:p>
    <w:p>
      <w:pPr>
        <w:spacing w:after="0" w:line="0" w:lineRule="atLeast"/>
        <w:ind w:left="0" w:right="0"/>
        <w:contextualSpacing/>
        <w:rPr>
          <w:rFonts w:hint="eastAsia"/>
          <w:sz w:val="28"/>
          <w:szCs w:val="28"/>
        </w:rPr>
      </w:pPr>
      <w:r>
        <w:rPr>
          <w:sz w:val="28"/>
          <w:szCs w:val="28"/>
        </w:rPr>
        <w:t xml:space="preserve">2. </w:t>
      </w:r>
      <w:r>
        <w:rPr>
          <w:rFonts w:hint="eastAsia"/>
          <w:sz w:val="28"/>
          <w:szCs w:val="28"/>
        </w:rPr>
        <w:t>理解金融危机决定的一、二、三代模型及其经济学含义。</w:t>
      </w:r>
    </w:p>
    <w:p>
      <w:pPr>
        <w:spacing w:after="0" w:line="0" w:lineRule="atLeast"/>
        <w:ind w:left="0" w:right="0"/>
        <w:contextualSpacing/>
        <w:rPr>
          <w:rFonts w:hint="eastAsia"/>
          <w:sz w:val="28"/>
          <w:szCs w:val="28"/>
        </w:rPr>
      </w:pPr>
      <w:r>
        <w:rPr>
          <w:sz w:val="28"/>
          <w:szCs w:val="28"/>
        </w:rPr>
        <w:t xml:space="preserve">3. </w:t>
      </w:r>
      <w:r>
        <w:rPr>
          <w:rFonts w:hint="eastAsia"/>
          <w:sz w:val="28"/>
          <w:szCs w:val="28"/>
        </w:rPr>
        <w:t>理解80年代拉美债务危机与当代欧洲债务危机的发生、传导机理及其经济后果。</w:t>
      </w:r>
    </w:p>
    <w:p>
      <w:pPr>
        <w:spacing w:after="0" w:line="0" w:lineRule="atLeast"/>
        <w:ind w:left="0" w:right="0"/>
        <w:contextualSpacing/>
        <w:rPr>
          <w:rFonts w:hint="eastAsia"/>
          <w:sz w:val="28"/>
          <w:szCs w:val="28"/>
        </w:rPr>
      </w:pPr>
      <w:r>
        <w:rPr>
          <w:sz w:val="28"/>
          <w:szCs w:val="28"/>
        </w:rPr>
        <w:t xml:space="preserve">4. </w:t>
      </w:r>
      <w:r>
        <w:rPr>
          <w:rFonts w:hint="eastAsia"/>
          <w:sz w:val="28"/>
          <w:szCs w:val="28"/>
        </w:rPr>
        <w:t>理解墨西哥、阿根廷货币危机、97亚洲金融危机、2008年美国金融危机的发生、传导机理及其经济后果。</w:t>
      </w:r>
    </w:p>
    <w:p>
      <w:pPr>
        <w:spacing w:after="0" w:line="0" w:lineRule="atLeast"/>
        <w:ind w:left="0" w:right="0"/>
        <w:contextualSpacing/>
        <w:rPr>
          <w:rFonts w:hint="eastAsia"/>
          <w:sz w:val="28"/>
          <w:szCs w:val="28"/>
        </w:rPr>
      </w:pPr>
      <w:r>
        <w:rPr>
          <w:sz w:val="28"/>
          <w:szCs w:val="28"/>
        </w:rPr>
        <w:t xml:space="preserve">5. </w:t>
      </w:r>
      <w:r>
        <w:rPr>
          <w:rFonts w:hint="eastAsia"/>
          <w:sz w:val="28"/>
          <w:szCs w:val="28"/>
        </w:rPr>
        <w:t>理解2020年全球金融动荡的发生、传导机理及其经济后果。</w:t>
      </w:r>
    </w:p>
    <w:p>
      <w:pPr>
        <w:spacing w:after="0" w:line="0" w:lineRule="atLeast"/>
        <w:ind w:left="0" w:right="0"/>
        <w:contextualSpacing/>
        <w:rPr>
          <w:rFonts w:hint="eastAsia"/>
          <w:sz w:val="28"/>
          <w:szCs w:val="28"/>
        </w:rPr>
      </w:pPr>
      <w:r>
        <w:rPr>
          <w:sz w:val="28"/>
          <w:szCs w:val="28"/>
        </w:rPr>
        <w:t xml:space="preserve">6. </w:t>
      </w:r>
      <w:r>
        <w:rPr>
          <w:rFonts w:hint="eastAsia"/>
          <w:sz w:val="28"/>
          <w:szCs w:val="28"/>
        </w:rPr>
        <w:t>理解上述有关国家政府应对货币金融危机的政策措施及其利弊得失。</w:t>
      </w:r>
    </w:p>
    <w:p>
      <w:pPr>
        <w:spacing w:after="0" w:line="0" w:lineRule="atLeast"/>
        <w:ind w:left="0" w:right="0"/>
        <w:contextualSpacing/>
        <w:rPr>
          <w:sz w:val="28"/>
          <w:szCs w:val="28"/>
        </w:rPr>
      </w:pPr>
      <w:r>
        <w:rPr>
          <w:rFonts w:hint="eastAsia"/>
          <w:sz w:val="28"/>
          <w:szCs w:val="28"/>
        </w:rPr>
        <w:t>7. 理解美国量化宽松货币政策的作用机理、MMT理论的局限及经济后果。</w:t>
      </w:r>
    </w:p>
    <w:p>
      <w:pPr>
        <w:spacing w:before="100" w:beforeAutospacing="1" w:after="100" w:afterAutospacing="1" w:line="400" w:lineRule="exact"/>
        <w:ind w:left="0" w:right="0"/>
        <w:rPr>
          <w:rFonts w:hint="eastAsia"/>
          <w:b/>
          <w:bCs/>
          <w:color w:val="2B2B2B"/>
          <w:kern w:val="0"/>
          <w:sz w:val="28"/>
          <w:szCs w:val="28"/>
        </w:rPr>
      </w:pPr>
      <w:r>
        <w:rPr>
          <w:rFonts w:hint="eastAsia"/>
          <w:b/>
          <w:bCs/>
          <w:color w:val="2B2B2B"/>
          <w:kern w:val="0"/>
          <w:sz w:val="28"/>
          <w:szCs w:val="28"/>
        </w:rPr>
        <w:t>参阅：</w:t>
      </w:r>
    </w:p>
    <w:p>
      <w:pPr>
        <w:numPr>
          <w:ilvl w:val="0"/>
          <w:numId w:val="2"/>
        </w:numPr>
        <w:spacing w:before="100" w:beforeAutospacing="1" w:after="100" w:afterAutospacing="1" w:line="400" w:lineRule="exact"/>
        <w:ind w:left="0" w:right="0"/>
        <w:rPr>
          <w:rFonts w:hint="eastAsia"/>
          <w:bCs/>
          <w:color w:val="2B2B2B"/>
          <w:kern w:val="0"/>
          <w:sz w:val="28"/>
          <w:szCs w:val="28"/>
        </w:rPr>
      </w:pPr>
      <w:r>
        <w:rPr>
          <w:rFonts w:hint="eastAsia"/>
          <w:bCs/>
          <w:color w:val="2B2B2B"/>
          <w:kern w:val="0"/>
          <w:sz w:val="28"/>
          <w:szCs w:val="28"/>
        </w:rPr>
        <w:t>《国际金融》（第十版），保罗·克鲁格曼著，中国人民大学出版社，2020年。</w:t>
      </w:r>
    </w:p>
    <w:p>
      <w:pPr>
        <w:numPr>
          <w:ilvl w:val="0"/>
          <w:numId w:val="2"/>
        </w:numPr>
        <w:spacing w:before="100" w:beforeAutospacing="1" w:after="100" w:afterAutospacing="1" w:line="400" w:lineRule="exact"/>
        <w:ind w:left="0" w:right="0"/>
        <w:rPr>
          <w:bCs/>
          <w:color w:val="2B2B2B"/>
          <w:kern w:val="0"/>
          <w:sz w:val="28"/>
          <w:szCs w:val="28"/>
        </w:rPr>
      </w:pPr>
      <w:r>
        <w:rPr>
          <w:rFonts w:hint="eastAsia"/>
          <w:bCs/>
          <w:color w:val="2B2B2B"/>
          <w:kern w:val="0"/>
          <w:sz w:val="28"/>
          <w:szCs w:val="28"/>
        </w:rPr>
        <w:t xml:space="preserve">《国际金融》（第六版），陈雨露主编，中国人民大学出版社，2019年。 </w:t>
      </w:r>
    </w:p>
    <w:p>
      <w:pPr>
        <w:spacing w:before="100" w:beforeAutospacing="1" w:after="100" w:afterAutospacing="1" w:line="400" w:lineRule="exact"/>
        <w:ind w:left="0" w:right="0"/>
        <w:rPr>
          <w:bCs/>
          <w:color w:val="2B2B2B"/>
          <w:kern w:val="0"/>
          <w:sz w:val="28"/>
          <w:szCs w:val="28"/>
        </w:rPr>
      </w:pPr>
      <w:r>
        <w:rPr>
          <w:rFonts w:hint="eastAsia"/>
          <w:bCs/>
          <w:color w:val="2B2B2B"/>
          <w:kern w:val="0"/>
          <w:sz w:val="28"/>
          <w:szCs w:val="28"/>
        </w:rPr>
        <w:t>3、</w:t>
      </w:r>
      <w:r>
        <w:rPr>
          <w:bCs/>
          <w:color w:val="2B2B2B"/>
          <w:kern w:val="0"/>
          <w:sz w:val="28"/>
          <w:szCs w:val="28"/>
        </w:rPr>
        <w:t>《国际贸易与国际收支》（第十版）国际金融部分</w:t>
      </w:r>
      <w:r>
        <w:rPr>
          <w:rFonts w:hint="eastAsia"/>
          <w:bCs/>
          <w:color w:val="2B2B2B"/>
          <w:kern w:val="0"/>
          <w:sz w:val="28"/>
          <w:szCs w:val="28"/>
        </w:rPr>
        <w:t>，</w:t>
      </w:r>
      <w:r>
        <w:rPr>
          <w:bCs/>
          <w:color w:val="2B2B2B"/>
          <w:kern w:val="0"/>
          <w:sz w:val="28"/>
          <w:szCs w:val="28"/>
        </w:rPr>
        <w:t>凯弗斯、弗兰克尔</w:t>
      </w:r>
      <w:r>
        <w:rPr>
          <w:rFonts w:hint="eastAsia"/>
          <w:bCs/>
          <w:color w:val="2B2B2B"/>
          <w:kern w:val="0"/>
          <w:sz w:val="28"/>
          <w:szCs w:val="28"/>
        </w:rPr>
        <w:t>著，</w:t>
      </w:r>
      <w:r>
        <w:rPr>
          <w:bCs/>
          <w:color w:val="2B2B2B"/>
          <w:kern w:val="0"/>
          <w:sz w:val="28"/>
          <w:szCs w:val="28"/>
        </w:rPr>
        <w:t>北京大学出版社</w:t>
      </w:r>
      <w:r>
        <w:rPr>
          <w:rFonts w:hint="eastAsia"/>
          <w:bCs/>
          <w:color w:val="2B2B2B"/>
          <w:kern w:val="0"/>
          <w:sz w:val="28"/>
          <w:szCs w:val="28"/>
        </w:rPr>
        <w:t>，</w:t>
      </w:r>
      <w:r>
        <w:rPr>
          <w:bCs/>
          <w:color w:val="2B2B2B"/>
          <w:kern w:val="0"/>
          <w:sz w:val="28"/>
          <w:szCs w:val="28"/>
        </w:rPr>
        <w:t>2008年</w:t>
      </w:r>
      <w:r>
        <w:rPr>
          <w:rFonts w:hint="eastAsia"/>
          <w:bCs/>
          <w:color w:val="2B2B2B"/>
          <w:kern w:val="0"/>
          <w:sz w:val="28"/>
          <w:szCs w:val="28"/>
        </w:rPr>
        <w:t>。</w:t>
      </w:r>
      <w:r>
        <w:rPr>
          <w:color w:val="2B2B2B"/>
          <w:kern w:val="0"/>
          <w:sz w:val="28"/>
          <w:szCs w:val="28"/>
        </w:rPr>
        <w:t xml:space="preserve"> </w:t>
      </w:r>
    </w:p>
    <w:p>
      <w:pPr>
        <w:rPr>
          <w:rFonts w:ascii="微软雅黑" w:hAnsi="微软雅黑" w:eastAsia="微软雅黑"/>
          <w:b/>
          <w:sz w:val="28"/>
          <w:szCs w:val="24"/>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9B09A"/>
    <w:multiLevelType w:val="singleLevel"/>
    <w:tmpl w:val="A849B09A"/>
    <w:lvl w:ilvl="0" w:tentative="0">
      <w:start w:val="1"/>
      <w:numFmt w:val="decimal"/>
      <w:suff w:val="nothing"/>
      <w:lvlText w:val="%1、"/>
      <w:lvlJc w:val="left"/>
    </w:lvl>
  </w:abstractNum>
  <w:abstractNum w:abstractNumId="1">
    <w:nsid w:val="79F344AE"/>
    <w:multiLevelType w:val="multilevel"/>
    <w:tmpl w:val="79F344A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7746"/>
    <w:rsid w:val="001A6F11"/>
    <w:rsid w:val="001D4E24"/>
    <w:rsid w:val="001E1D31"/>
    <w:rsid w:val="00244602"/>
    <w:rsid w:val="0027759F"/>
    <w:rsid w:val="00293213"/>
    <w:rsid w:val="00295BDD"/>
    <w:rsid w:val="00297376"/>
    <w:rsid w:val="002D207D"/>
    <w:rsid w:val="00333669"/>
    <w:rsid w:val="00360C8C"/>
    <w:rsid w:val="00362670"/>
    <w:rsid w:val="0044017A"/>
    <w:rsid w:val="00445638"/>
    <w:rsid w:val="004C31DA"/>
    <w:rsid w:val="0052370C"/>
    <w:rsid w:val="005E1B99"/>
    <w:rsid w:val="0064707F"/>
    <w:rsid w:val="00664709"/>
    <w:rsid w:val="00680FC4"/>
    <w:rsid w:val="00701E22"/>
    <w:rsid w:val="007221FE"/>
    <w:rsid w:val="007429AE"/>
    <w:rsid w:val="00786237"/>
    <w:rsid w:val="00795CA9"/>
    <w:rsid w:val="007E237F"/>
    <w:rsid w:val="007F0244"/>
    <w:rsid w:val="0082295A"/>
    <w:rsid w:val="00910153"/>
    <w:rsid w:val="00963575"/>
    <w:rsid w:val="009A122A"/>
    <w:rsid w:val="00A15CED"/>
    <w:rsid w:val="00A67602"/>
    <w:rsid w:val="00A769A1"/>
    <w:rsid w:val="00B27927"/>
    <w:rsid w:val="00BD1846"/>
    <w:rsid w:val="00C04128"/>
    <w:rsid w:val="00C43FA1"/>
    <w:rsid w:val="00C9255D"/>
    <w:rsid w:val="00CC251B"/>
    <w:rsid w:val="00D45A1C"/>
    <w:rsid w:val="00D554E4"/>
    <w:rsid w:val="00D7519D"/>
    <w:rsid w:val="00E00906"/>
    <w:rsid w:val="00E3751A"/>
    <w:rsid w:val="00E81193"/>
    <w:rsid w:val="00E91732"/>
    <w:rsid w:val="00EB7F21"/>
    <w:rsid w:val="00EC5C5C"/>
    <w:rsid w:val="00F22DBC"/>
    <w:rsid w:val="00F72F56"/>
    <w:rsid w:val="00F77549"/>
    <w:rsid w:val="00F96E06"/>
    <w:rsid w:val="00FC1576"/>
    <w:rsid w:val="0EE3649C"/>
    <w:rsid w:val="1DDF621C"/>
    <w:rsid w:val="23773F58"/>
    <w:rsid w:val="593E4F49"/>
    <w:rsid w:val="797A21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7"/>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spacing w:line="240" w:lineRule="auto"/>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Char"/>
    <w:link w:val="2"/>
    <w:uiPriority w:val="0"/>
    <w:rPr>
      <w:rFonts w:ascii="楷体" w:hAnsi="楷体" w:eastAsia="楷体"/>
      <w:color w:val="000000"/>
      <w:sz w:val="24"/>
      <w:lang w:bidi="ar-SA"/>
    </w:rPr>
  </w:style>
  <w:style w:type="character" w:customStyle="1" w:styleId="8">
    <w:name w:val="页脚 Char"/>
    <w:link w:val="3"/>
    <w:uiPriority w:val="99"/>
    <w:rPr>
      <w:rFonts w:ascii="宋体" w:hAnsi="宋体" w:eastAsia="宋体" w:cs="宋体"/>
      <w:color w:val="000000"/>
      <w:sz w:val="18"/>
      <w:szCs w:val="18"/>
    </w:rPr>
  </w:style>
  <w:style w:type="character" w:customStyle="1" w:styleId="9">
    <w:name w:val="页眉 Char"/>
    <w:link w:val="4"/>
    <w:uiPriority w:val="99"/>
    <w:rPr>
      <w:rFonts w:ascii="宋体" w:hAnsi="宋体" w:eastAsia="宋体" w:cs="宋体"/>
      <w:color w:val="000000"/>
      <w:sz w:val="18"/>
      <w:szCs w:val="18"/>
    </w:rPr>
  </w:style>
  <w:style w:type="character" w:customStyle="1" w:styleId="10">
    <w:name w:val="Placeholder Text"/>
    <w:semiHidden/>
    <w:uiPriority w:val="99"/>
    <w:rPr>
      <w:color w:val="808080"/>
    </w:rPr>
  </w:style>
  <w:style w:type="character" w:customStyle="1" w:styleId="11">
    <w:name w:val="样式1 Char"/>
    <w:link w:val="12"/>
    <w:uiPriority w:val="0"/>
    <w:rPr>
      <w:rFonts w:ascii="微软雅黑" w:hAnsi="微软雅黑" w:eastAsia="微软雅黑" w:cs="宋体"/>
      <w:b/>
      <w:color w:val="000000"/>
      <w:sz w:val="28"/>
      <w:szCs w:val="24"/>
    </w:rPr>
  </w:style>
  <w:style w:type="paragraph" w:customStyle="1" w:styleId="12">
    <w:name w:val="样式1"/>
    <w:basedOn w:val="1"/>
    <w:link w:val="11"/>
    <w:qFormat/>
    <w:uiPriority w:val="0"/>
    <w:pPr>
      <w:spacing w:after="0" w:afterLines="0" w:line="0" w:lineRule="atLeast"/>
      <w:ind w:left="0" w:right="0"/>
      <w:contextualSpacing/>
    </w:pPr>
    <w:rPr>
      <w:rFonts w:ascii="微软雅黑" w:hAnsi="微软雅黑" w:eastAsia="微软雅黑"/>
      <w:b/>
      <w:sz w:val="28"/>
      <w:szCs w:val="24"/>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3</Pages>
  <Words>311</Words>
  <Characters>1775</Characters>
  <Lines>14</Lines>
  <Paragraphs>4</Paragraphs>
  <TotalTime>0</TotalTime>
  <ScaleCrop>false</ScaleCrop>
  <LinksUpToDate>false</LinksUpToDate>
  <CharactersWithSpaces>2082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2020-07-10T06:42:00Z</dcterms:created>
  <dc:creator>CCPP</dc:creator>
  <cp:lastModifiedBy>vertesyuan</cp:lastModifiedBy>
  <dcterms:modified xsi:type="dcterms:W3CDTF">2024-01-09T06:44:01Z</dcterms:modified>
  <dc:title>2014年数学考研大纲(数学一)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C38C77E31E8442D4959AB1B02F865E61_13</vt:lpwstr>
  </property>
</Properties>
</file>