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auto"/>
          <w:sz w:val="32"/>
          <w:szCs w:val="32"/>
        </w:rPr>
        <w:t>辽宁大学202</w:t>
      </w:r>
      <w:r>
        <w:rPr>
          <w:rFonts w:hint="eastAsia" w:ascii="华文中宋" w:hAnsi="华文中宋" w:eastAsia="华文中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color w:val="auto"/>
          <w:sz w:val="32"/>
          <w:szCs w:val="32"/>
        </w:rPr>
      </w:pPr>
      <w:r>
        <w:rPr>
          <w:rFonts w:hint="eastAsia" w:ascii="华文中宋" w:hAnsi="华文中宋" w:eastAsia="华文中宋"/>
          <w:color w:val="auto"/>
          <w:sz w:val="32"/>
          <w:szCs w:val="32"/>
        </w:rPr>
        <w:t>初试科目考试大纲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科目代码：3023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      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科目名称：国际经济学 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满分：100分</w:t>
      </w:r>
    </w:p>
    <w:p>
      <w:pPr>
        <w:spacing w:beforeLines="100" w:afterLines="100" w:line="380" w:lineRule="exact"/>
        <w:rPr>
          <w:rFonts w:ascii="宋体" w:hAnsi="宋体" w:eastAsia="宋体"/>
          <w:b/>
          <w:color w:val="auto"/>
          <w:sz w:val="24"/>
          <w:szCs w:val="24"/>
        </w:rPr>
      </w:pPr>
      <w:r>
        <w:rPr>
          <w:rFonts w:ascii="宋体" w:hAnsi="宋体" w:eastAsia="宋体"/>
          <w:b/>
          <w:color w:val="auto"/>
          <w:sz w:val="24"/>
          <w:szCs w:val="24"/>
        </w:rPr>
        <w:t>第1章  绪论</w:t>
      </w:r>
    </w:p>
    <w:p>
      <w:pPr>
        <w:spacing w:beforeLines="100" w:afterLines="100" w:line="380" w:lineRule="exact"/>
        <w:rPr>
          <w:rFonts w:ascii="宋体" w:hAnsi="宋体" w:eastAsia="宋体"/>
          <w:b/>
          <w:color w:val="auto"/>
          <w:sz w:val="24"/>
          <w:szCs w:val="24"/>
        </w:rPr>
      </w:pPr>
      <w:r>
        <w:rPr>
          <w:rFonts w:ascii="宋体" w:hAnsi="宋体" w:eastAsia="宋体"/>
          <w:b/>
          <w:color w:val="auto"/>
          <w:sz w:val="24"/>
          <w:szCs w:val="24"/>
        </w:rPr>
        <w:t xml:space="preserve">第1部分  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完全竞争市场：</w:t>
      </w:r>
      <w:r>
        <w:rPr>
          <w:rFonts w:ascii="宋体" w:hAnsi="宋体" w:eastAsia="宋体"/>
          <w:b/>
          <w:color w:val="auto"/>
          <w:sz w:val="24"/>
          <w:szCs w:val="24"/>
        </w:rPr>
        <w:t>国际贸易理论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与政策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 xml:space="preserve">第2章  </w:t>
      </w:r>
      <w:r>
        <w:rPr>
          <w:rFonts w:hint="eastAsia" w:ascii="宋体" w:hAnsi="宋体" w:eastAsia="宋体"/>
          <w:color w:val="auto"/>
          <w:sz w:val="24"/>
          <w:szCs w:val="24"/>
        </w:rPr>
        <w:t>李嘉图模型（两个国家，两种产品，一个劳动要素）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 xml:space="preserve">第3章  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DFS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模型（两个国家，多种产品，一个劳动要素） 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 xml:space="preserve">第4章  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-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K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模型（</w:t>
      </w:r>
      <w:r>
        <w:rPr>
          <w:rFonts w:hint="eastAsia" w:ascii="宋体" w:hAnsi="宋体" w:eastAsia="宋体"/>
          <w:color w:val="auto"/>
          <w:sz w:val="24"/>
          <w:szCs w:val="24"/>
        </w:rPr>
        <w:t>多个国家，多种产品，一个劳动要素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）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第5章  要素禀赋与赫克歇尔—俄林理论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第6章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   斯托帕-萨缪尔逊、雷布金斯基效应及要素价格均等化定理推导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 xml:space="preserve">第7章  </w:t>
      </w:r>
      <w:r>
        <w:rPr>
          <w:rFonts w:hint="eastAsia" w:ascii="宋体" w:hAnsi="宋体" w:eastAsia="宋体"/>
          <w:color w:val="auto"/>
          <w:sz w:val="24"/>
          <w:szCs w:val="24"/>
        </w:rPr>
        <w:t>贸易政策工具运用理论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第8章   小国的关税与配额及福利核算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第9章   大国的关税与配额及福利核算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第10章  最优关税理论</w:t>
      </w:r>
    </w:p>
    <w:p>
      <w:pPr>
        <w:spacing w:beforeLines="100" w:afterLines="100" w:line="380" w:lineRule="exact"/>
        <w:rPr>
          <w:rFonts w:ascii="宋体" w:hAnsi="宋体" w:eastAsia="宋体"/>
          <w:b/>
          <w:color w:val="auto"/>
          <w:sz w:val="24"/>
          <w:szCs w:val="24"/>
        </w:rPr>
      </w:pPr>
      <w:r>
        <w:rPr>
          <w:rFonts w:ascii="宋体" w:hAnsi="宋体" w:eastAsia="宋体"/>
          <w:b/>
          <w:color w:val="auto"/>
          <w:sz w:val="24"/>
          <w:szCs w:val="24"/>
        </w:rPr>
        <w:t>第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2</w:t>
      </w:r>
      <w:r>
        <w:rPr>
          <w:rFonts w:ascii="宋体" w:hAnsi="宋体" w:eastAsia="宋体"/>
          <w:b/>
          <w:color w:val="auto"/>
          <w:sz w:val="24"/>
          <w:szCs w:val="24"/>
        </w:rPr>
        <w:t xml:space="preserve">部分  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不完全竞争市场：</w:t>
      </w:r>
      <w:r>
        <w:rPr>
          <w:rFonts w:ascii="宋体" w:hAnsi="宋体" w:eastAsia="宋体"/>
          <w:b/>
          <w:color w:val="auto"/>
          <w:sz w:val="24"/>
          <w:szCs w:val="24"/>
        </w:rPr>
        <w:t>国际贸易理论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与政策</w:t>
      </w:r>
    </w:p>
    <w:p>
      <w:pPr>
        <w:spacing w:beforeLines="100" w:afterLines="100" w:line="380" w:lineRule="exact"/>
        <w:rPr>
          <w:rFonts w:hint="eastAsia" w:ascii="Times New Roman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第11章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</w:rPr>
        <w:t>规模经济与产品差异化的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D—S</w:t>
      </w:r>
      <w:r>
        <w:rPr>
          <w:rFonts w:ascii="Times New Roman" w:hAnsi="宋体" w:eastAsia="宋体" w:cs="Times New Roman"/>
          <w:color w:val="auto"/>
          <w:sz w:val="24"/>
          <w:szCs w:val="24"/>
        </w:rPr>
        <w:t>模型</w:t>
      </w:r>
      <w:r>
        <w:rPr>
          <w:rFonts w:hint="eastAsia" w:ascii="Times New Roman" w:hAnsi="宋体" w:eastAsia="宋体" w:cs="Times New Roman"/>
          <w:color w:val="auto"/>
          <w:sz w:val="24"/>
          <w:szCs w:val="24"/>
        </w:rPr>
        <w:t>（1977）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第12章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szCs w:val="24"/>
        </w:rPr>
        <w:t>规模经济作用下的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Keugman</w:t>
      </w:r>
      <w:r>
        <w:rPr>
          <w:rFonts w:hint="eastAsia" w:ascii="宋体" w:hAnsi="宋体" w:eastAsia="宋体"/>
          <w:color w:val="auto"/>
          <w:sz w:val="24"/>
          <w:szCs w:val="24"/>
        </w:rPr>
        <w:t>模型（1979，1980）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</w:t>
      </w:r>
      <w:r>
        <w:rPr>
          <w:rFonts w:hint="eastAsia" w:ascii="宋体" w:hAnsi="宋体" w:eastAsia="宋体"/>
          <w:color w:val="auto"/>
          <w:sz w:val="24"/>
          <w:szCs w:val="24"/>
        </w:rPr>
        <w:t>13</w:t>
      </w:r>
      <w:r>
        <w:rPr>
          <w:rFonts w:ascii="宋体" w:hAnsi="宋体" w:eastAsia="宋体"/>
          <w:color w:val="auto"/>
          <w:sz w:val="24"/>
          <w:szCs w:val="24"/>
        </w:rPr>
        <w:t>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 异质工厂的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Melitz</w:t>
      </w:r>
      <w:r>
        <w:rPr>
          <w:rFonts w:hint="eastAsia" w:ascii="宋体" w:hAnsi="宋体" w:eastAsia="宋体"/>
          <w:color w:val="auto"/>
          <w:sz w:val="24"/>
          <w:szCs w:val="24"/>
        </w:rPr>
        <w:t>模型（2003）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第14章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</w:rPr>
        <w:t>异质工厂的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EKK</w:t>
      </w:r>
      <w:r>
        <w:rPr>
          <w:rFonts w:hint="eastAsia" w:ascii="宋体" w:hAnsi="宋体" w:eastAsia="宋体"/>
          <w:color w:val="auto"/>
          <w:sz w:val="24"/>
          <w:szCs w:val="24"/>
        </w:rPr>
        <w:t>模型（2011）</w:t>
      </w:r>
    </w:p>
    <w:p>
      <w:pPr>
        <w:spacing w:beforeLines="100" w:afterLines="100" w:line="380" w:lineRule="exact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 xml:space="preserve">第15章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垄断竞</w:t>
      </w:r>
      <w:r>
        <w:rPr>
          <w:rFonts w:hint="eastAsia" w:ascii="宋体" w:hAnsi="宋体" w:eastAsia="宋体"/>
          <w:color w:val="auto"/>
          <w:sz w:val="24"/>
          <w:szCs w:val="24"/>
        </w:rPr>
        <w:t>争条件下的关税与配额工具使用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color w:val="auto"/>
          <w:sz w:val="24"/>
          <w:szCs w:val="24"/>
        </w:rPr>
        <w:t>第3部分  其他关于国际贸易的专门议题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第1</w:t>
      </w:r>
      <w:r>
        <w:rPr>
          <w:rFonts w:hint="eastAsia" w:ascii="宋体" w:hAnsi="宋体" w:eastAsia="宋体"/>
          <w:color w:val="auto"/>
          <w:sz w:val="24"/>
          <w:szCs w:val="24"/>
        </w:rPr>
        <w:t>6</w:t>
      </w:r>
      <w:r>
        <w:rPr>
          <w:rFonts w:ascii="宋体" w:hAnsi="宋体" w:eastAsia="宋体"/>
          <w:color w:val="auto"/>
          <w:sz w:val="24"/>
          <w:szCs w:val="24"/>
        </w:rPr>
        <w:t>章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</w:rPr>
        <w:t>国际资源</w:t>
      </w:r>
      <w:r>
        <w:rPr>
          <w:rFonts w:hint="eastAsia" w:ascii="宋体" w:hAnsi="宋体" w:eastAsia="宋体"/>
          <w:color w:val="auto"/>
          <w:sz w:val="24"/>
          <w:szCs w:val="24"/>
        </w:rPr>
        <w:t>配置与多国生产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第1</w:t>
      </w:r>
      <w:r>
        <w:rPr>
          <w:rFonts w:hint="eastAsia" w:ascii="宋体" w:hAnsi="宋体" w:eastAsia="宋体"/>
          <w:color w:val="auto"/>
          <w:sz w:val="24"/>
          <w:szCs w:val="24"/>
        </w:rPr>
        <w:t>7</w:t>
      </w:r>
      <w:r>
        <w:rPr>
          <w:rFonts w:ascii="宋体" w:hAnsi="宋体" w:eastAsia="宋体"/>
          <w:color w:val="auto"/>
          <w:sz w:val="24"/>
          <w:szCs w:val="24"/>
        </w:rPr>
        <w:t>章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color w:val="auto"/>
          <w:sz w:val="24"/>
          <w:szCs w:val="24"/>
        </w:rPr>
        <w:t>经济一体化：关税同盟与自由贸易区国际贸易与经济发展</w:t>
      </w:r>
    </w:p>
    <w:p>
      <w:pPr>
        <w:spacing w:beforeLines="100" w:afterLines="100" w:line="380" w:lineRule="exact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第1</w:t>
      </w:r>
      <w:r>
        <w:rPr>
          <w:rFonts w:hint="eastAsia" w:ascii="宋体" w:hAnsi="宋体" w:eastAsia="宋体"/>
          <w:color w:val="auto"/>
          <w:sz w:val="24"/>
          <w:szCs w:val="24"/>
        </w:rPr>
        <w:t>8</w:t>
      </w:r>
      <w:r>
        <w:rPr>
          <w:rFonts w:ascii="宋体" w:hAnsi="宋体" w:eastAsia="宋体"/>
          <w:color w:val="auto"/>
          <w:sz w:val="24"/>
          <w:szCs w:val="24"/>
        </w:rPr>
        <w:t>章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>汇率传递对国际商品贸易的影响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第1</w:t>
      </w:r>
      <w:r>
        <w:rPr>
          <w:rFonts w:hint="eastAsia" w:ascii="宋体" w:hAnsi="宋体" w:eastAsia="宋体"/>
          <w:color w:val="auto"/>
          <w:sz w:val="24"/>
          <w:szCs w:val="24"/>
        </w:rPr>
        <w:t>9</w:t>
      </w:r>
      <w:r>
        <w:rPr>
          <w:rFonts w:ascii="宋体" w:hAnsi="宋体" w:eastAsia="宋体"/>
          <w:color w:val="auto"/>
          <w:sz w:val="24"/>
          <w:szCs w:val="24"/>
        </w:rPr>
        <w:t>章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>国际贸易与经济增长</w:t>
      </w:r>
    </w:p>
    <w:p>
      <w:pPr>
        <w:spacing w:beforeLines="100" w:afterLines="100" w:line="380" w:lineRule="exact"/>
        <w:rPr>
          <w:rFonts w:ascii="宋体" w:hAnsi="宋体" w:eastAsia="宋体"/>
          <w:b/>
          <w:color w:val="auto"/>
          <w:sz w:val="24"/>
          <w:szCs w:val="24"/>
        </w:rPr>
      </w:pPr>
      <w:r>
        <w:rPr>
          <w:rFonts w:ascii="宋体" w:hAnsi="宋体" w:eastAsia="宋体"/>
          <w:b/>
          <w:color w:val="auto"/>
          <w:sz w:val="24"/>
          <w:szCs w:val="24"/>
        </w:rPr>
        <w:t>第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4</w:t>
      </w:r>
      <w:r>
        <w:rPr>
          <w:rFonts w:ascii="宋体" w:hAnsi="宋体" w:eastAsia="宋体"/>
          <w:b/>
          <w:color w:val="auto"/>
          <w:sz w:val="24"/>
          <w:szCs w:val="24"/>
        </w:rPr>
        <w:t>部分 开放经济宏观经济学与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经济政策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</w:t>
      </w:r>
      <w:r>
        <w:rPr>
          <w:rFonts w:hint="eastAsia" w:ascii="宋体" w:hAnsi="宋体" w:eastAsia="宋体"/>
          <w:color w:val="auto"/>
          <w:sz w:val="24"/>
          <w:szCs w:val="24"/>
        </w:rPr>
        <w:t>20</w:t>
      </w:r>
      <w:r>
        <w:rPr>
          <w:rFonts w:ascii="宋体" w:hAnsi="宋体" w:eastAsia="宋体"/>
          <w:color w:val="auto"/>
          <w:sz w:val="24"/>
          <w:szCs w:val="24"/>
        </w:rPr>
        <w:t xml:space="preserve">章  </w:t>
      </w:r>
      <w:r>
        <w:rPr>
          <w:rFonts w:hint="eastAsia" w:ascii="宋体" w:hAnsi="宋体" w:eastAsia="宋体"/>
          <w:color w:val="auto"/>
          <w:sz w:val="24"/>
          <w:szCs w:val="24"/>
        </w:rPr>
        <w:t>伯南克经济学</w:t>
      </w:r>
    </w:p>
    <w:p>
      <w:pPr>
        <w:spacing w:beforeLines="100" w:afterLines="100" w:line="38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第</w:t>
      </w:r>
      <w:r>
        <w:rPr>
          <w:rFonts w:hint="eastAsia" w:ascii="宋体" w:hAnsi="宋体" w:eastAsia="宋体"/>
          <w:color w:val="auto"/>
          <w:sz w:val="24"/>
          <w:szCs w:val="24"/>
        </w:rPr>
        <w:t>21</w:t>
      </w:r>
      <w:r>
        <w:rPr>
          <w:rFonts w:ascii="宋体" w:hAnsi="宋体" w:eastAsia="宋体"/>
          <w:color w:val="auto"/>
          <w:sz w:val="24"/>
          <w:szCs w:val="24"/>
        </w:rPr>
        <w:t xml:space="preserve">章  </w:t>
      </w:r>
      <w:r>
        <w:rPr>
          <w:rFonts w:hint="eastAsia" w:ascii="宋体" w:hAnsi="宋体" w:eastAsia="宋体"/>
          <w:color w:val="auto"/>
          <w:sz w:val="24"/>
          <w:szCs w:val="24"/>
        </w:rPr>
        <w:t>治理萧条的政策工具</w:t>
      </w:r>
    </w:p>
    <w:p>
      <w:pPr>
        <w:spacing w:beforeLines="100" w:afterLines="100"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4"/>
          <w:szCs w:val="24"/>
        </w:rPr>
        <w:t>第</w:t>
      </w:r>
      <w:r>
        <w:rPr>
          <w:rFonts w:hint="eastAsia" w:ascii="宋体" w:hAnsi="宋体" w:eastAsia="宋体"/>
          <w:color w:val="auto"/>
          <w:sz w:val="24"/>
          <w:szCs w:val="24"/>
        </w:rPr>
        <w:t>22</w:t>
      </w:r>
      <w:r>
        <w:rPr>
          <w:rFonts w:ascii="宋体" w:hAnsi="宋体" w:eastAsia="宋体"/>
          <w:color w:val="auto"/>
          <w:sz w:val="24"/>
          <w:szCs w:val="24"/>
        </w:rPr>
        <w:t xml:space="preserve">章  </w:t>
      </w:r>
      <w:r>
        <w:rPr>
          <w:rFonts w:hint="eastAsia" w:ascii="宋体" w:hAnsi="宋体" w:eastAsia="宋体"/>
          <w:color w:val="auto"/>
          <w:sz w:val="24"/>
          <w:szCs w:val="24"/>
        </w:rPr>
        <w:t>治理通胀的政策工具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2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3.8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xuWJ0QAAAAMBAAAPAAAAAAAAAAEAIAAAACIAAABkcnMvZG93bnJldi54bWxQ&#10;SwECFAAUAAAACACHTuJARDT4aP4BAAAPBAAADgAAAAAAAAABACAAAAAg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DB4BBB"/>
    <w:rsid w:val="00023171"/>
    <w:rsid w:val="00150125"/>
    <w:rsid w:val="00171E43"/>
    <w:rsid w:val="001936DB"/>
    <w:rsid w:val="001A07E1"/>
    <w:rsid w:val="001B767F"/>
    <w:rsid w:val="00246BB2"/>
    <w:rsid w:val="00263F26"/>
    <w:rsid w:val="00266F4D"/>
    <w:rsid w:val="00296C0B"/>
    <w:rsid w:val="002D0077"/>
    <w:rsid w:val="00386998"/>
    <w:rsid w:val="003A05E4"/>
    <w:rsid w:val="003B20EB"/>
    <w:rsid w:val="00404616"/>
    <w:rsid w:val="00464CBE"/>
    <w:rsid w:val="004F5D30"/>
    <w:rsid w:val="005B717D"/>
    <w:rsid w:val="005C3D7D"/>
    <w:rsid w:val="005D02D2"/>
    <w:rsid w:val="005E196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8E3BAA"/>
    <w:rsid w:val="0090107B"/>
    <w:rsid w:val="0094563B"/>
    <w:rsid w:val="00997B68"/>
    <w:rsid w:val="009B167F"/>
    <w:rsid w:val="009F527E"/>
    <w:rsid w:val="00A32B6A"/>
    <w:rsid w:val="00A963BA"/>
    <w:rsid w:val="00AA43FA"/>
    <w:rsid w:val="00AB69FB"/>
    <w:rsid w:val="00B3784E"/>
    <w:rsid w:val="00B6039A"/>
    <w:rsid w:val="00B852E5"/>
    <w:rsid w:val="00B91F82"/>
    <w:rsid w:val="00C3161D"/>
    <w:rsid w:val="00D30CE7"/>
    <w:rsid w:val="00DB4BBB"/>
    <w:rsid w:val="00DC4472"/>
    <w:rsid w:val="00DF35CE"/>
    <w:rsid w:val="00EC5E3A"/>
    <w:rsid w:val="00F44869"/>
    <w:rsid w:val="00F7466D"/>
    <w:rsid w:val="00FD6F42"/>
    <w:rsid w:val="00FE3ADE"/>
    <w:rsid w:val="077F1302"/>
    <w:rsid w:val="1BB976DA"/>
    <w:rsid w:val="1EC633F6"/>
    <w:rsid w:val="208757D7"/>
    <w:rsid w:val="362223D1"/>
    <w:rsid w:val="36B32C31"/>
    <w:rsid w:val="37424667"/>
    <w:rsid w:val="39B1357E"/>
    <w:rsid w:val="3ACF5B21"/>
    <w:rsid w:val="3C792719"/>
    <w:rsid w:val="43820BB3"/>
    <w:rsid w:val="449F7BC2"/>
    <w:rsid w:val="46AF55DF"/>
    <w:rsid w:val="4B2754A2"/>
    <w:rsid w:val="4F4132F6"/>
    <w:rsid w:val="51C968DA"/>
    <w:rsid w:val="52076C4F"/>
    <w:rsid w:val="584601B1"/>
    <w:rsid w:val="59F35289"/>
    <w:rsid w:val="6C8620AD"/>
    <w:rsid w:val="788C4F8F"/>
    <w:rsid w:val="7CCD2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502</Words>
  <Characters>557</Characters>
  <Lines>6</Lines>
  <Paragraphs>1</Paragraphs>
  <TotalTime>0</TotalTime>
  <ScaleCrop>false</ScaleCrop>
  <LinksUpToDate>false</LinksUpToDate>
  <CharactersWithSpaces>644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2023-01-07T03:00:00Z</dcterms:created>
  <dc:creator>Microsoft</dc:creator>
  <cp:lastModifiedBy>vertesyuan</cp:lastModifiedBy>
  <cp:lastPrinted>2023-02-28T03:00:14Z</cp:lastPrinted>
  <dcterms:modified xsi:type="dcterms:W3CDTF">2024-01-09T07:38:14Z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743D90CFB27D483FB0CBECACCCA6DEC8_13</vt:lpwstr>
  </property>
</Properties>
</file>