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left="-2" w:leftChars="-1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大连理工大学202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4</w:t>
      </w:r>
      <w:r>
        <w:rPr>
          <w:rFonts w:hint="eastAsia" w:ascii="宋体" w:hAnsi="宋体"/>
          <w:b/>
          <w:bCs/>
          <w:sz w:val="32"/>
          <w:szCs w:val="32"/>
        </w:rPr>
        <w:t>年硕士研究生入学考试大纲</w:t>
      </w:r>
    </w:p>
    <w:p>
      <w:pPr>
        <w:adjustRightInd w:val="0"/>
        <w:snapToGrid w:val="0"/>
        <w:spacing w:line="30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科目代码：243     科目名称：德语（二外）</w:t>
      </w:r>
    </w:p>
    <w:p>
      <w:pPr>
        <w:spacing w:beforeLines="50" w:afterLines="50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一、考试性质</w:t>
      </w:r>
    </w:p>
    <w:p>
      <w:pPr>
        <w:spacing w:line="400" w:lineRule="exact"/>
        <w:ind w:firstLine="480" w:firstLineChars="200"/>
        <w:rPr>
          <w:rFonts w:hint="eastAsia" w:ascii="仿宋_GB2312" w:hAnsi="宋体"/>
          <w:sz w:val="24"/>
          <w:szCs w:val="24"/>
        </w:rPr>
      </w:pPr>
      <w:r>
        <w:rPr>
          <w:rFonts w:hint="eastAsia" w:ascii="仿宋_GB2312" w:hAnsi="仿宋_GB2312"/>
          <w:sz w:val="24"/>
          <w:szCs w:val="24"/>
        </w:rPr>
        <w:t>《德语（二外）》</w:t>
      </w:r>
      <w:r>
        <w:rPr>
          <w:rFonts w:ascii="仿宋_GB2312" w:hAnsi="仿宋_GB2312"/>
          <w:sz w:val="24"/>
          <w:szCs w:val="24"/>
        </w:rPr>
        <w:t>是</w:t>
      </w:r>
      <w:r>
        <w:rPr>
          <w:rFonts w:hint="eastAsia" w:ascii="仿宋_GB2312" w:hAnsi="仿宋_GB2312"/>
          <w:sz w:val="24"/>
          <w:szCs w:val="24"/>
        </w:rPr>
        <w:t>硕士研究生入学考试初试外国语言文学一级学科第二外语</w:t>
      </w:r>
      <w:r>
        <w:rPr>
          <w:rFonts w:ascii="仿宋_GB2312" w:hAnsi="仿宋_GB2312"/>
          <w:sz w:val="24"/>
          <w:szCs w:val="24"/>
        </w:rPr>
        <w:t>科目之一，</w:t>
      </w:r>
      <w:r>
        <w:rPr>
          <w:rFonts w:hint="eastAsia" w:ascii="仿宋_GB2312" w:hAnsi="仿宋_GB2312"/>
          <w:sz w:val="24"/>
          <w:szCs w:val="24"/>
        </w:rPr>
        <w:t>是</w:t>
      </w:r>
      <w:r>
        <w:rPr>
          <w:rFonts w:ascii="仿宋_GB2312" w:hAnsi="仿宋_GB2312"/>
          <w:sz w:val="24"/>
          <w:szCs w:val="24"/>
        </w:rPr>
        <w:t>教育部授权各招生院校自行命题的选拔性考试。本考试大纲的制定力求科学、公平、准确、规范地测评考生的</w:t>
      </w:r>
      <w:r>
        <w:rPr>
          <w:rFonts w:hint="eastAsia" w:ascii="仿宋_GB2312" w:hAnsi="仿宋_GB2312"/>
          <w:sz w:val="24"/>
          <w:szCs w:val="24"/>
        </w:rPr>
        <w:t>德语</w:t>
      </w:r>
      <w:r>
        <w:rPr>
          <w:rFonts w:ascii="仿宋_GB2312" w:hAnsi="仿宋_GB2312"/>
          <w:sz w:val="24"/>
          <w:szCs w:val="24"/>
        </w:rPr>
        <w:t>知识基础、基本素质和综合能力。</w:t>
      </w:r>
    </w:p>
    <w:p>
      <w:pPr>
        <w:spacing w:beforeLines="50" w:afterLines="50"/>
        <w:rPr>
          <w:rFonts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二、评价目标</w:t>
      </w:r>
    </w:p>
    <w:p>
      <w:pPr>
        <w:numPr>
          <w:ilvl w:val="0"/>
          <w:numId w:val="1"/>
        </w:numPr>
        <w:spacing w:line="400" w:lineRule="exact"/>
        <w:rPr>
          <w:rFonts w:hint="eastAsia"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sz w:val="24"/>
          <w:szCs w:val="24"/>
        </w:rPr>
        <w:t>掌握</w:t>
      </w:r>
      <w:r>
        <w:rPr>
          <w:rFonts w:hint="eastAsia" w:ascii="仿宋_GB2312" w:hAnsi="宋体"/>
          <w:color w:val="000000"/>
          <w:sz w:val="24"/>
          <w:szCs w:val="24"/>
        </w:rPr>
        <w:t>德语基础</w:t>
      </w:r>
      <w:r>
        <w:rPr>
          <w:rFonts w:ascii="仿宋_GB2312" w:hAnsi="宋体"/>
          <w:color w:val="000000"/>
          <w:sz w:val="24"/>
          <w:szCs w:val="24"/>
        </w:rPr>
        <w:t>知识</w:t>
      </w:r>
      <w:r>
        <w:rPr>
          <w:rFonts w:hint="eastAsia" w:ascii="仿宋_GB2312" w:hAnsi="宋体"/>
          <w:color w:val="000000"/>
          <w:sz w:val="24"/>
          <w:szCs w:val="24"/>
        </w:rPr>
        <w:t>；</w:t>
      </w:r>
    </w:p>
    <w:p>
      <w:pPr>
        <w:numPr>
          <w:ilvl w:val="0"/>
          <w:numId w:val="1"/>
        </w:numPr>
        <w:spacing w:line="400" w:lineRule="exact"/>
        <w:rPr>
          <w:rFonts w:ascii="仿宋_GB2312" w:hAnsi="宋体"/>
          <w:sz w:val="24"/>
          <w:szCs w:val="24"/>
        </w:rPr>
      </w:pPr>
      <w:r>
        <w:rPr>
          <w:rFonts w:ascii="仿宋_GB2312" w:hAnsi="宋体"/>
          <w:color w:val="000000"/>
          <w:sz w:val="24"/>
          <w:szCs w:val="24"/>
        </w:rPr>
        <w:t>具有</w:t>
      </w:r>
      <w:r>
        <w:rPr>
          <w:rFonts w:hint="eastAsia" w:ascii="仿宋_GB2312" w:hAnsi="宋体"/>
          <w:color w:val="000000"/>
          <w:sz w:val="24"/>
          <w:szCs w:val="24"/>
        </w:rPr>
        <w:t>一定</w:t>
      </w:r>
      <w:r>
        <w:rPr>
          <w:rFonts w:ascii="仿宋_GB2312" w:hAnsi="宋体"/>
          <w:color w:val="000000"/>
          <w:sz w:val="24"/>
          <w:szCs w:val="24"/>
        </w:rPr>
        <w:t>的</w:t>
      </w:r>
      <w:r>
        <w:rPr>
          <w:rFonts w:hint="eastAsia" w:ascii="仿宋_GB2312" w:hAnsi="宋体"/>
          <w:color w:val="000000"/>
          <w:sz w:val="24"/>
          <w:szCs w:val="24"/>
        </w:rPr>
        <w:t>德语</w:t>
      </w:r>
      <w:r>
        <w:rPr>
          <w:rFonts w:hint="eastAsia"/>
          <w:sz w:val="24"/>
          <w:szCs w:val="24"/>
        </w:rPr>
        <w:t>语言应用能力</w:t>
      </w:r>
      <w:r>
        <w:rPr>
          <w:rFonts w:ascii="仿宋_GB2312" w:hAnsi="宋体"/>
          <w:sz w:val="24"/>
          <w:szCs w:val="24"/>
        </w:rPr>
        <w:t>。</w:t>
      </w:r>
    </w:p>
    <w:p>
      <w:pPr>
        <w:spacing w:beforeLines="50" w:afterLines="50"/>
        <w:rPr>
          <w:rFonts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三、复习大纲</w:t>
      </w:r>
    </w:p>
    <w:p>
      <w:pPr>
        <w:numPr>
          <w:ilvl w:val="0"/>
          <w:numId w:val="2"/>
        </w:numPr>
        <w:spacing w:beforeLines="50" w:afterLines="50"/>
        <w:rPr>
          <w:rFonts w:ascii="微软雅黑" w:hAnsi="微软雅黑" w:eastAsia="微软雅黑"/>
          <w:bCs/>
          <w:color w:val="000000"/>
          <w:sz w:val="28"/>
          <w:szCs w:val="32"/>
        </w:rPr>
      </w:pPr>
      <w:r>
        <w:rPr>
          <w:rFonts w:hint="eastAsia" w:ascii="微软雅黑" w:hAnsi="微软雅黑" w:eastAsia="微软雅黑"/>
          <w:bCs/>
          <w:color w:val="000000"/>
          <w:sz w:val="28"/>
          <w:szCs w:val="32"/>
        </w:rPr>
        <w:t>德语基础知识</w:t>
      </w:r>
    </w:p>
    <w:p>
      <w:pPr>
        <w:spacing w:line="400" w:lineRule="exact"/>
        <w:jc w:val="lef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（1）</w:t>
      </w:r>
      <w:r>
        <w:rPr>
          <w:rFonts w:hint="eastAsia" w:ascii="宋体" w:hAnsi="宋体" w:cs="宋体-WinCharSetFFFF-H"/>
          <w:color w:val="000000"/>
          <w:kern w:val="0"/>
          <w:sz w:val="24"/>
          <w:szCs w:val="24"/>
        </w:rPr>
        <w:t>词汇：掌握大约2</w:t>
      </w:r>
      <w:r>
        <w:rPr>
          <w:rFonts w:ascii="宋体" w:hAnsi="宋体" w:cs="宋体-WinCharSetFFFF-H"/>
          <w:color w:val="000000"/>
          <w:kern w:val="0"/>
          <w:sz w:val="24"/>
          <w:szCs w:val="24"/>
        </w:rPr>
        <w:t>000</w:t>
      </w:r>
      <w:r>
        <w:rPr>
          <w:rFonts w:hint="eastAsia" w:ascii="宋体" w:hAnsi="宋体" w:cs="宋体-WinCharSetFFFF-H"/>
          <w:color w:val="000000"/>
          <w:kern w:val="0"/>
          <w:sz w:val="24"/>
          <w:szCs w:val="24"/>
        </w:rPr>
        <w:t>个</w:t>
      </w:r>
      <w:r>
        <w:rPr>
          <w:rFonts w:hint="eastAsia" w:ascii="宋体" w:hAnsi="宋体" w:cs="AppleExternalUIFontSimplifiedCh"/>
          <w:kern w:val="0"/>
          <w:sz w:val="24"/>
          <w:szCs w:val="24"/>
          <w:lang w:bidi="ar-SA"/>
        </w:rPr>
        <w:t>基本常用词汇，了解词形变化、语义区分、常用的搭配、固定用法等。</w:t>
      </w:r>
    </w:p>
    <w:p>
      <w:pPr>
        <w:spacing w:line="400" w:lineRule="exact"/>
        <w:jc w:val="lef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2）语法：熟练掌握基础语法，如：动词变位；名词、代词、形容词等的变格；情态助动词；不定式和不定式结构；介词的用法；形容词比较级；各种时态；被动态；第二虚拟式；句子的正确语序；并列及主从复合句，其中主从复合句包括宾语从句，时间、原因、目的、条件、结果、让步从句以及关系从句。</w:t>
      </w:r>
    </w:p>
    <w:p>
      <w:pPr>
        <w:spacing w:beforeLines="50" w:afterLines="50"/>
        <w:rPr>
          <w:rFonts w:ascii="微软雅黑" w:hAnsi="微软雅黑" w:eastAsia="微软雅黑"/>
          <w:bCs/>
          <w:color w:val="000000"/>
          <w:sz w:val="28"/>
          <w:szCs w:val="32"/>
        </w:rPr>
      </w:pPr>
      <w:r>
        <w:rPr>
          <w:rFonts w:hint="eastAsia" w:ascii="微软雅黑" w:hAnsi="微软雅黑" w:eastAsia="微软雅黑"/>
          <w:bCs/>
          <w:color w:val="000000"/>
          <w:sz w:val="28"/>
          <w:szCs w:val="32"/>
        </w:rPr>
        <w:t>2. 德语应用能力</w:t>
      </w:r>
    </w:p>
    <w:p>
      <w:pPr>
        <w:spacing w:line="4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（1）具备</w:t>
      </w:r>
      <w:r>
        <w:rPr>
          <w:rFonts w:hint="eastAsia" w:ascii="宋体" w:hAnsi="宋体"/>
          <w:bCs/>
          <w:color w:val="000000"/>
          <w:sz w:val="24"/>
          <w:szCs w:val="24"/>
        </w:rPr>
        <w:t>对于一般</w:t>
      </w:r>
      <w:r>
        <w:rPr>
          <w:rFonts w:ascii="Helvetica Neue" w:hAnsi="Helvetica Neue"/>
          <w:color w:val="000000"/>
          <w:kern w:val="0"/>
          <w:sz w:val="24"/>
          <w:szCs w:val="24"/>
          <w:shd w:val="clear" w:color="auto" w:fill="FFFFFF"/>
          <w:lang w:bidi="ar-SA"/>
        </w:rPr>
        <w:t>性</w:t>
      </w:r>
      <w:r>
        <w:rPr>
          <w:rFonts w:hint="eastAsia" w:ascii="宋体" w:hAnsi="宋体"/>
          <w:bCs/>
          <w:color w:val="000000"/>
          <w:sz w:val="24"/>
          <w:szCs w:val="24"/>
        </w:rPr>
        <w:t>题材文章的</w:t>
      </w:r>
      <w:r>
        <w:rPr>
          <w:rFonts w:hint="eastAsia" w:ascii="宋体" w:hAnsi="宋体" w:cs="Times"/>
          <w:bCs/>
          <w:color w:val="000000"/>
          <w:sz w:val="24"/>
          <w:szCs w:val="24"/>
        </w:rPr>
        <w:t>理解和获取信息的能力</w:t>
      </w:r>
    </w:p>
    <w:p>
      <w:pPr>
        <w:widowControl/>
        <w:spacing w:line="400" w:lineRule="exact"/>
        <w:jc w:val="left"/>
        <w:rPr>
          <w:rFonts w:hint="eastAsia" w:ascii="宋体" w:hAnsi="宋体"/>
          <w:color w:val="000000"/>
          <w:kern w:val="0"/>
          <w:sz w:val="24"/>
          <w:szCs w:val="24"/>
          <w:lang w:bidi="ar-SA"/>
        </w:rPr>
      </w:pPr>
      <w:r>
        <w:rPr>
          <w:rFonts w:hint="eastAsia" w:ascii="宋体" w:hAnsi="宋体"/>
          <w:color w:val="000000"/>
          <w:sz w:val="24"/>
          <w:szCs w:val="24"/>
        </w:rPr>
        <w:t>（2）</w:t>
      </w:r>
      <w:r>
        <w:rPr>
          <w:rFonts w:ascii="Helvetica Neue" w:hAnsi="Helvetica Neue"/>
          <w:color w:val="000000"/>
          <w:kern w:val="0"/>
          <w:sz w:val="24"/>
          <w:szCs w:val="24"/>
          <w:shd w:val="clear" w:color="auto" w:fill="FFFFFF"/>
          <w:lang w:bidi="ar-SA"/>
        </w:rPr>
        <w:t>掌握基本的</w:t>
      </w:r>
      <w:r>
        <w:rPr>
          <w:rFonts w:hint="eastAsia" w:ascii="Helvetica Neue" w:hAnsi="Helvetica Neue"/>
          <w:color w:val="000000"/>
          <w:kern w:val="0"/>
          <w:sz w:val="24"/>
          <w:szCs w:val="24"/>
          <w:shd w:val="clear" w:color="auto" w:fill="FFFFFF"/>
          <w:lang w:bidi="ar-SA"/>
        </w:rPr>
        <w:t>一般性题材的文字</w:t>
      </w:r>
      <w:r>
        <w:rPr>
          <w:rFonts w:ascii="Helvetica Neue" w:hAnsi="Helvetica Neue"/>
          <w:color w:val="000000"/>
          <w:kern w:val="0"/>
          <w:sz w:val="24"/>
          <w:szCs w:val="24"/>
          <w:shd w:val="clear" w:color="auto" w:fill="FFFFFF"/>
          <w:lang w:bidi="ar-SA"/>
        </w:rPr>
        <w:t>翻译</w:t>
      </w:r>
      <w:r>
        <w:rPr>
          <w:rFonts w:hint="eastAsia" w:ascii="Helvetica Neue" w:hAnsi="Helvetica Neue"/>
          <w:color w:val="000000"/>
          <w:kern w:val="0"/>
          <w:sz w:val="24"/>
          <w:szCs w:val="24"/>
          <w:shd w:val="clear" w:color="auto" w:fill="FFFFFF"/>
          <w:lang w:bidi="ar-SA"/>
        </w:rPr>
        <w:t>能力</w:t>
      </w:r>
    </w:p>
    <w:p>
      <w:pPr>
        <w:spacing w:line="400" w:lineRule="exac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（3）具备日常主题的书面表达能力</w:t>
      </w:r>
    </w:p>
    <w:p>
      <w:pPr>
        <w:spacing w:beforeLines="50" w:afterLines="50"/>
        <w:rPr>
          <w:rFonts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四、参考资料</w:t>
      </w:r>
    </w:p>
    <w:p>
      <w:pPr>
        <w:numPr>
          <w:ilvl w:val="0"/>
          <w:numId w:val="3"/>
        </w:numPr>
        <w:spacing w:line="300" w:lineRule="auto"/>
        <w:ind w:left="0" w:firstLine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朱建华主编，新编大学德</w:t>
      </w:r>
      <w:r>
        <w:rPr>
          <w:rFonts w:hint="eastAsia" w:ascii="宋体" w:hAnsi="宋体"/>
          <w:sz w:val="24"/>
          <w:szCs w:val="24"/>
        </w:rPr>
        <w:t>语（第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版）第一册，</w:t>
      </w:r>
      <w:r>
        <w:rPr>
          <w:rFonts w:hint="eastAsia" w:ascii="Verdana" w:hAnsi="Verdana"/>
          <w:sz w:val="24"/>
          <w:szCs w:val="24"/>
        </w:rPr>
        <w:t>外语教学与研究出版社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2010</w:t>
      </w:r>
      <w:r>
        <w:rPr>
          <w:rFonts w:hint="eastAsia" w:ascii="宋体" w:hAnsi="宋体"/>
          <w:sz w:val="24"/>
          <w:szCs w:val="24"/>
        </w:rPr>
        <w:t>.</w:t>
      </w:r>
    </w:p>
    <w:p>
      <w:pPr>
        <w:numPr>
          <w:ilvl w:val="0"/>
          <w:numId w:val="3"/>
        </w:numPr>
        <w:spacing w:line="300" w:lineRule="auto"/>
        <w:ind w:left="0" w:firstLine="0"/>
        <w:rPr>
          <w:rFonts w:ascii="宋体" w:hAnsi="宋体"/>
          <w:color w:val="FF0000"/>
          <w:sz w:val="24"/>
          <w:szCs w:val="24"/>
          <w:lang w:val="de-DE"/>
        </w:rPr>
      </w:pPr>
      <w:r>
        <w:rPr>
          <w:rFonts w:hint="eastAsia" w:ascii="宋体" w:hAnsi="宋体"/>
          <w:sz w:val="24"/>
          <w:szCs w:val="24"/>
        </w:rPr>
        <w:t>朱建华主编</w:t>
      </w:r>
      <w:r>
        <w:rPr>
          <w:rFonts w:hint="eastAsia" w:ascii="宋体" w:hAnsi="宋体"/>
          <w:color w:val="000000"/>
          <w:sz w:val="24"/>
          <w:szCs w:val="24"/>
        </w:rPr>
        <w:t>，新编大学德语（第</w:t>
      </w: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hint="eastAsia" w:ascii="宋体" w:hAnsi="宋体"/>
          <w:color w:val="000000"/>
          <w:sz w:val="24"/>
          <w:szCs w:val="24"/>
        </w:rPr>
        <w:t>版）第二册，</w:t>
      </w:r>
      <w:r>
        <w:rPr>
          <w:rFonts w:hint="eastAsia" w:ascii="Verdana" w:hAnsi="Verdana"/>
          <w:color w:val="000000"/>
          <w:sz w:val="24"/>
          <w:szCs w:val="24"/>
        </w:rPr>
        <w:t>外语教学与研究出版社</w:t>
      </w:r>
      <w:r>
        <w:rPr>
          <w:rFonts w:hint="eastAsia" w:ascii="宋体" w:hAnsi="宋体"/>
          <w:color w:val="000000"/>
          <w:sz w:val="24"/>
          <w:szCs w:val="24"/>
        </w:rPr>
        <w:t>，</w:t>
      </w:r>
      <w:r>
        <w:rPr>
          <w:rFonts w:ascii="宋体" w:hAnsi="宋体"/>
          <w:color w:val="000000"/>
          <w:sz w:val="24"/>
          <w:szCs w:val="24"/>
        </w:rPr>
        <w:t>201</w:t>
      </w:r>
      <w:r>
        <w:rPr>
          <w:rFonts w:hint="eastAsia" w:ascii="宋体" w:hAnsi="宋体"/>
          <w:color w:val="000000"/>
          <w:sz w:val="24"/>
          <w:szCs w:val="24"/>
        </w:rPr>
        <w:t>1</w:t>
      </w:r>
      <w:r>
        <w:rPr>
          <w:rFonts w:ascii="宋体" w:hAnsi="宋体"/>
          <w:color w:val="000000"/>
          <w:sz w:val="24"/>
          <w:szCs w:val="24"/>
        </w:rPr>
        <w:t>.</w:t>
      </w: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gsana New">
    <w:altName w:val="Microsoft Sans Serif"/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WinCharSetFFFF-H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ppleExternalUIFontSimplifiedCh">
    <w:altName w:val="微软雅黑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Helvetica Neue">
    <w:altName w:val="Times New Roman"/>
    <w:panose1 w:val="02000503000000020004"/>
    <w:charset w:val="00"/>
    <w:family w:val="auto"/>
    <w:pitch w:val="default"/>
    <w:sig w:usb0="E50002FF" w:usb1="500079DB" w:usb2="0000001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67004F"/>
    <w:multiLevelType w:val="multilevel"/>
    <w:tmpl w:val="3C67004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316DEA"/>
    <w:multiLevelType w:val="multilevel"/>
    <w:tmpl w:val="56316DE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056CFC"/>
    <w:multiLevelType w:val="multilevel"/>
    <w:tmpl w:val="7E056CFC"/>
    <w:lvl w:ilvl="0" w:tentative="0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440" w:hanging="480"/>
      </w:pPr>
    </w:lvl>
    <w:lvl w:ilvl="2" w:tentative="0">
      <w:start w:val="1"/>
      <w:numFmt w:val="lowerRoman"/>
      <w:lvlText w:val="%3."/>
      <w:lvlJc w:val="right"/>
      <w:pPr>
        <w:ind w:left="1920" w:hanging="480"/>
      </w:pPr>
    </w:lvl>
    <w:lvl w:ilvl="3" w:tentative="0">
      <w:start w:val="1"/>
      <w:numFmt w:val="decimal"/>
      <w:lvlText w:val="%4."/>
      <w:lvlJc w:val="left"/>
      <w:pPr>
        <w:ind w:left="2400" w:hanging="480"/>
      </w:pPr>
    </w:lvl>
    <w:lvl w:ilvl="4" w:tentative="0">
      <w:start w:val="1"/>
      <w:numFmt w:val="lowerLetter"/>
      <w:lvlText w:val="%5)"/>
      <w:lvlJc w:val="left"/>
      <w:pPr>
        <w:ind w:left="2880" w:hanging="480"/>
      </w:pPr>
    </w:lvl>
    <w:lvl w:ilvl="5" w:tentative="0">
      <w:start w:val="1"/>
      <w:numFmt w:val="lowerRoman"/>
      <w:lvlText w:val="%6."/>
      <w:lvlJc w:val="right"/>
      <w:pPr>
        <w:ind w:left="3360" w:hanging="480"/>
      </w:pPr>
    </w:lvl>
    <w:lvl w:ilvl="6" w:tentative="0">
      <w:start w:val="1"/>
      <w:numFmt w:val="decimal"/>
      <w:lvlText w:val="%7."/>
      <w:lvlJc w:val="left"/>
      <w:pPr>
        <w:ind w:left="3840" w:hanging="480"/>
      </w:pPr>
    </w:lvl>
    <w:lvl w:ilvl="7" w:tentative="0">
      <w:start w:val="1"/>
      <w:numFmt w:val="lowerLetter"/>
      <w:lvlText w:val="%8)"/>
      <w:lvlJc w:val="left"/>
      <w:pPr>
        <w:ind w:left="4320" w:hanging="480"/>
      </w:pPr>
    </w:lvl>
    <w:lvl w:ilvl="8" w:tentative="0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7E30406"/>
    <w:rsid w:val="622829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1" w:name="Light Shading"/>
    <w:lsdException w:uiPriority="1" w:name="Light List"/>
    <w:lsdException w:uiPriority="1" w:name="Light Grid"/>
    <w:lsdException w:uiPriority="1" w:name="Medium Shading 1"/>
    <w:lsdException w:uiPriority="1" w:name="Medium Shading 2"/>
    <w:lsdException w:uiPriority="1" w:name="Medium List 1"/>
    <w:lsdException w:uiPriority="1" w:name="Medium List 2"/>
    <w:lsdException w:uiPriority="1" w:name="Medium Grid 1"/>
    <w:lsdException w:qFormat="1"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iPriority="1" w:name="Colorful Shading Accent 1"/>
    <w:lsdException w:qFormat="1" w:unhideWhenUsed="0" w:uiPriority="1" w:semiHidden="0" w:name="Colorful List Accent 1"/>
    <w:lsdException w:qFormat="1" w:unhideWhenUsed="0" w:uiPriority="1" w:semiHidden="0" w:name="Colorful Grid Accent 1"/>
    <w:lsdException w:qFormat="1"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/>
      <w:kern w:val="2"/>
      <w:sz w:val="21"/>
      <w:szCs w:val="21"/>
      <w:lang w:val="en-US" w:eastAsia="zh-CN" w:bidi="th-TH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rFonts w:cs="Angsana New"/>
      <w:sz w:val="18"/>
      <w:szCs w:val="22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Angsana New"/>
      <w:sz w:val="18"/>
      <w:szCs w:val="22"/>
    </w:rPr>
  </w:style>
  <w:style w:type="character" w:customStyle="1" w:styleId="6">
    <w:name w:val="页脚 字符"/>
    <w:link w:val="2"/>
    <w:uiPriority w:val="0"/>
    <w:rPr>
      <w:rFonts w:cs="Angsana New"/>
      <w:kern w:val="2"/>
      <w:sz w:val="18"/>
      <w:szCs w:val="22"/>
      <w:lang w:bidi="th-TH"/>
    </w:rPr>
  </w:style>
  <w:style w:type="character" w:customStyle="1" w:styleId="7">
    <w:name w:val="页眉 字符"/>
    <w:link w:val="3"/>
    <w:uiPriority w:val="0"/>
    <w:rPr>
      <w:rFonts w:cs="Angsana New"/>
      <w:kern w:val="2"/>
      <w:sz w:val="18"/>
      <w:szCs w:val="22"/>
      <w:lang w:bidi="th-T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81</Words>
  <Characters>468</Characters>
  <Lines>3</Lines>
  <Paragraphs>1</Paragraphs>
  <TotalTime>0</TotalTime>
  <ScaleCrop>false</ScaleCrop>
  <LinksUpToDate>false</LinksUpToDate>
  <CharactersWithSpaces>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2022-08-14T02:45:00Z</dcterms:created>
  <dc:creator>hp</dc:creator>
  <cp:lastModifiedBy>vertesyuan</cp:lastModifiedBy>
  <cp:lastPrinted>2018-09-10T05:44:00Z</cp:lastPrinted>
  <dcterms:modified xsi:type="dcterms:W3CDTF">2024-01-09T08:13:44Z</dcterms:modified>
  <dc:title>华南师范大学国际文化学院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F65F24AFFEAB45D79F8C90A3B2ED76D3_13</vt:lpwstr>
  </property>
</Properties>
</file>