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b/>
          <w:bCs/>
          <w:color w:val="000000" w:themeColor="text1"/>
          <w:sz w:val="32"/>
          <w:szCs w:val="32"/>
          <w:lang w:eastAsia="zh-CN"/>
        </w:rPr>
      </w:pPr>
      <w:r>
        <w:rPr>
          <w:rFonts w:hint="eastAsia" w:ascii="黑体" w:hAnsi="黑体" w:eastAsia="黑体" w:cs="Times New Roman"/>
          <w:b/>
          <w:bCs/>
          <w:color w:val="000000" w:themeColor="text1"/>
          <w:sz w:val="32"/>
          <w:szCs w:val="32"/>
        </w:rPr>
        <w:t>2023年全国硕士研究生招生考试</w:t>
      </w:r>
      <w:r>
        <w:rPr>
          <w:rFonts w:hint="eastAsia" w:ascii="黑体" w:hAnsi="黑体" w:eastAsia="黑体" w:cs="Times New Roman"/>
          <w:b/>
          <w:bCs/>
          <w:color w:val="000000" w:themeColor="text1"/>
          <w:sz w:val="32"/>
          <w:szCs w:val="32"/>
          <w:lang w:eastAsia="zh-CN"/>
        </w:rPr>
        <w:t>《</w:t>
      </w:r>
      <w:r>
        <w:rPr>
          <w:rFonts w:hint="eastAsia" w:ascii="黑体" w:hAnsi="黑体" w:eastAsia="黑体" w:cs="Times New Roman"/>
          <w:b/>
          <w:bCs/>
          <w:color w:val="000000" w:themeColor="text1"/>
          <w:sz w:val="32"/>
          <w:szCs w:val="32"/>
        </w:rPr>
        <w:t>农业知识综合四</w:t>
      </w:r>
      <w:r>
        <w:rPr>
          <w:rFonts w:hint="eastAsia" w:ascii="黑体" w:hAnsi="黑体" w:eastAsia="黑体" w:cs="Times New Roman"/>
          <w:b/>
          <w:bCs/>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b/>
          <w:bCs/>
          <w:color w:val="000000" w:themeColor="text1"/>
          <w:sz w:val="32"/>
          <w:szCs w:val="32"/>
        </w:rPr>
      </w:pPr>
      <w:r>
        <w:rPr>
          <w:rFonts w:hint="eastAsia" w:ascii="黑体" w:hAnsi="黑体" w:eastAsia="黑体" w:cs="Times New Roman"/>
          <w:b/>
          <w:bCs/>
          <w:color w:val="000000" w:themeColor="text1"/>
          <w:sz w:val="32"/>
          <w:szCs w:val="32"/>
        </w:rPr>
        <w:t>考试大纲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一、考试性质</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农业知识综合四是为招收农业硕士研究生（农业管理）而设置的具有选拔功能的水平考试。它的主要目的是测试考生对《管理学原理》、《农业政策学》、《农村社会学》内容的掌握程度和应用相关知识分析问题的能力。要求考生理解和掌握相关课程基础知识和基本理论，能够运用基本原理和方法分析、判断和解决有关实际问题。它的评价标准是高等学校优秀本科毕业生能达到及格或及格以上水平，以保证被录取者具有基本的农业管理理论知识并有利于招生学校在专业上择优选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二、考查目标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农业知识综合四考试涵盖管理学原理、农业政策学、农村社会学</w:t>
      </w:r>
      <w:bookmarkStart w:id="0" w:name="_GoBack"/>
      <w:bookmarkEnd w:id="0"/>
      <w:r>
        <w:rPr>
          <w:rFonts w:hint="eastAsia" w:ascii="仿宋_GB2312" w:hAnsi="仿宋_GB2312" w:eastAsia="仿宋_GB2312" w:cs="仿宋_GB2312"/>
          <w:color w:val="000000" w:themeColor="text1"/>
          <w:sz w:val="24"/>
          <w:szCs w:val="24"/>
        </w:rPr>
        <w:t>等课程。要求考生：</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1．准确地再认或再现学科的有关知识。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2．准确、恰当地使用本学科的专业术语，正确理解和掌握学科的有关范畴、规律和论断。</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3．运用有关原理，解释和论证某种观点，辨明理论是非。</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 w:hAnsi="仿宋" w:eastAsia="仿宋" w:cs="仿宋"/>
          <w:b/>
          <w:bCs/>
          <w:color w:val="000000" w:themeColor="text1"/>
          <w:sz w:val="24"/>
          <w:szCs w:val="24"/>
        </w:rPr>
      </w:pPr>
      <w:r>
        <w:rPr>
          <w:rFonts w:hint="eastAsia" w:ascii="仿宋_GB2312" w:hAnsi="仿宋_GB2312" w:eastAsia="仿宋_GB2312" w:cs="仿宋_GB2312"/>
          <w:color w:val="000000" w:themeColor="text1"/>
          <w:sz w:val="24"/>
          <w:szCs w:val="24"/>
        </w:rPr>
        <w:t>4．运用相关理论知识比较和分析有关社会现象或实际问题。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三、考试形式和试卷结构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（一）试卷满分及考试时间</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本试卷满分为150分，考试时间为180分钟。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（二）答题方式</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答题方式为闭卷、笔试。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（三）试卷内容结构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《管理学原理》、《农业政策学》、《农村社会学》等各占三分之一，每门50分。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（四）试卷题型结构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简述题 90分（6小题，每小题15分）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 w:hAnsi="仿宋" w:eastAsia="仿宋" w:cs="仿宋"/>
          <w:b/>
          <w:bCs/>
          <w:sz w:val="24"/>
          <w:szCs w:val="24"/>
        </w:rPr>
      </w:pPr>
      <w:r>
        <w:rPr>
          <w:rFonts w:hint="eastAsia" w:ascii="仿宋_GB2312" w:hAnsi="仿宋_GB2312" w:eastAsia="仿宋_GB2312" w:cs="仿宋_GB2312"/>
          <w:color w:val="000000" w:themeColor="text1"/>
          <w:sz w:val="24"/>
          <w:szCs w:val="24"/>
        </w:rPr>
        <w:t>论述题 60分（3小题，每小题20分）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四、考查内容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农业政策学（2道简答题1道论述题）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（一）农业政策学概论</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政策与政策科学</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农业与农业政策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政府、市场与农业政策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农业政策分析的经济理论与方法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（二）农业政策制定</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农业政策问题分析</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农业政策目标确定</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农业政策的制定程序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（三）农业政策执行</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农业政策执行概述</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农业政策的执行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（四）农业政策评估及调整</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农业政策评估的原则</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农业政策评估的标准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农业政策评估的内容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农业政策评估的方法</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农业政策的调整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（五）农业土地政策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农业土地政策概述</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农业土地政策目标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农业土地所有政策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农业土地利用政策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农业土地流转政策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农业土地保护政策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（六）农村劳动力政策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农村劳动力政策目标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农村劳动力就业政策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农村劳动力流动就业中的问题与展望</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（七）农产品市场与流通政策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农产品国内价格政策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农产品补贴政策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农产品流通政策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（八）农产品质量安全政策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农产品质量安全政策目标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农产品质量安全政策内容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农产品质量安全问题与展望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（九）农产品国际贸易政策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农产品国际贸易政策的背景、目标及手段措施</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农产品国际贸易政策的内容及经济效应分析</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我国农产品国际贸易政策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（十）农业基本经营制度政策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农业基本经营制度的历史沿革</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农业家庭经营政策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农业规模经营政策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（十一）农民收入政策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城乡收入差距及农村内部收入差距的变化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促进农民持续稳定增收的总体要求、基本思路与政策选择</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（十二）农业财政与金融政策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农业财政与金融政策的作用、手段和目标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农业财政投入政策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农业金融政策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（十三）农业结构政策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中国农业结构调整的发展历程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农业结构政策目标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农业结构调整的政策内容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农业结构调整的矛盾与问题</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农业结构调整的发展趋势</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（十四）农业科学技术政策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农业科学技术政策背景与政策依据</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农业科学技术发展政策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农业科学技术推广政策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（十五）农业可持续发展政策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农业可持续发展理论产生的背景</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中国农业可持续发展政策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农业环境保护政策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农业自然资源保护政策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lang w:val="en-US" w:eastAsia="zh-CN"/>
        </w:rPr>
      </w:pPr>
      <w:r>
        <w:rPr>
          <w:rFonts w:hint="eastAsia" w:ascii="仿宋_GB2312" w:hAnsi="仿宋_GB2312" w:eastAsia="仿宋_GB2312" w:cs="仿宋_GB2312"/>
          <w:b/>
          <w:color w:val="000000" w:themeColor="text1"/>
          <w:sz w:val="24"/>
          <w:szCs w:val="24"/>
          <w:lang w:val="en-US" w:eastAsia="zh-CN"/>
        </w:rPr>
        <w:t>（十六）农村社会发展政策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农村教育政策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农村扶贫政策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农村社会保障政策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rPr>
      </w:pPr>
    </w:p>
    <w:sectPr>
      <w:footerReference r:id="rId5" w:type="default"/>
      <w:pgSz w:w="11906" w:h="16838"/>
      <w:pgMar w:top="1417" w:right="1474" w:bottom="1417" w:left="1474"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0NjJjOTEwMTZhMTdmNDgyMDI5ZWFiODBhNmM0NzQifQ=="/>
  </w:docVars>
  <w:rsids>
    <w:rsidRoot w:val="00064C8C"/>
    <w:rsid w:val="00064C8C"/>
    <w:rsid w:val="000C138B"/>
    <w:rsid w:val="00116E37"/>
    <w:rsid w:val="002138B2"/>
    <w:rsid w:val="00247407"/>
    <w:rsid w:val="002C58CE"/>
    <w:rsid w:val="003A4413"/>
    <w:rsid w:val="003D2C75"/>
    <w:rsid w:val="00456769"/>
    <w:rsid w:val="004759EE"/>
    <w:rsid w:val="006435A1"/>
    <w:rsid w:val="00651A34"/>
    <w:rsid w:val="006B3662"/>
    <w:rsid w:val="00703030"/>
    <w:rsid w:val="0071085A"/>
    <w:rsid w:val="00727B08"/>
    <w:rsid w:val="009D59E6"/>
    <w:rsid w:val="009F351C"/>
    <w:rsid w:val="00A01327"/>
    <w:rsid w:val="00A50413"/>
    <w:rsid w:val="00AC22E7"/>
    <w:rsid w:val="00BB0D20"/>
    <w:rsid w:val="00BC1380"/>
    <w:rsid w:val="00BE5610"/>
    <w:rsid w:val="00BF2B0D"/>
    <w:rsid w:val="00D472B9"/>
    <w:rsid w:val="00E22954"/>
    <w:rsid w:val="00EE1C7E"/>
    <w:rsid w:val="00F26403"/>
    <w:rsid w:val="02C0505F"/>
    <w:rsid w:val="17925D82"/>
    <w:rsid w:val="1DB87C3F"/>
    <w:rsid w:val="1F14591D"/>
    <w:rsid w:val="4426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semiHidden/>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1369</Words>
  <Characters>1436</Characters>
  <Lines>11</Lines>
  <Paragraphs>3</Paragraphs>
  <TotalTime>82</TotalTime>
  <ScaleCrop>false</ScaleCrop>
  <LinksUpToDate>false</LinksUpToDate>
  <CharactersWithSpaces>1438</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2019-07-17T00:06:00Z</dcterms:created>
  <dc:creator>xb21cn</dc:creator>
  <cp:lastModifiedBy>Drink</cp:lastModifiedBy>
  <dcterms:modified xsi:type="dcterms:W3CDTF">2023-09-21T11:48:27Z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F43DA10502874A1B88FFCB446F72E074</vt:lpwstr>
  </property>
</Properties>
</file>