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eastAsia="黑体"/>
          <w:b/>
          <w:sz w:val="32"/>
          <w:szCs w:val="32"/>
        </w:rPr>
      </w:pPr>
      <w:bookmarkStart w:id="0" w:name="_GoBack"/>
      <w:bookmarkEnd w:id="0"/>
      <w:r>
        <w:rPr>
          <w:rFonts w:hint="eastAsia" w:ascii="黑体" w:eastAsia="黑体"/>
          <w:b/>
          <w:sz w:val="32"/>
          <w:szCs w:val="32"/>
        </w:rPr>
        <w:t>202</w:t>
      </w:r>
      <w:r>
        <w:rPr>
          <w:rFonts w:hint="eastAsia" w:ascii="黑体" w:eastAsia="黑体"/>
          <w:b/>
          <w:sz w:val="32"/>
          <w:szCs w:val="32"/>
          <w:lang w:val="en-US" w:eastAsia="zh-CN"/>
        </w:rPr>
        <w:t>4</w:t>
      </w:r>
      <w:r>
        <w:rPr>
          <w:rFonts w:hint="eastAsia" w:ascii="黑体" w:eastAsia="黑体"/>
          <w:b/>
          <w:sz w:val="32"/>
          <w:szCs w:val="32"/>
        </w:rPr>
        <w:t>年宁波大学硕士研究生招生考试初试科目</w:t>
      </w:r>
      <w:r>
        <w:rPr>
          <w:rFonts w:ascii="黑体" w:eastAsia="黑体"/>
          <w:b/>
          <w:sz w:val="32"/>
          <w:szCs w:val="32"/>
        </w:rPr>
        <w:br w:type="textWrapping"/>
      </w:r>
      <w:r>
        <w:rPr>
          <w:rFonts w:hint="eastAsia" w:ascii="黑体" w:eastAsia="黑体"/>
          <w:b/>
          <w:sz w:val="32"/>
          <w:szCs w:val="32"/>
        </w:rPr>
        <w:t>考　试　大　纲</w:t>
      </w:r>
    </w:p>
    <w:p>
      <w:pPr>
        <w:spacing w:line="400" w:lineRule="exact"/>
        <w:jc w:val="center"/>
        <w:rPr>
          <w:rFonts w:hint="eastAsia" w:ascii="黑体" w:eastAsia="黑体"/>
          <w:b/>
          <w:sz w:val="32"/>
          <w:szCs w:val="32"/>
        </w:rPr>
      </w:pPr>
    </w:p>
    <w:tbl>
      <w:tblPr>
        <w:tblStyle w:val="5"/>
        <w:tblW w:w="0" w:type="auto"/>
        <w:tblInd w:w="108" w:type="dxa"/>
        <w:tblLayout w:type="fixed"/>
        <w:tblCellMar>
          <w:top w:w="0" w:type="dxa"/>
          <w:left w:w="108" w:type="dxa"/>
          <w:bottom w:w="0" w:type="dxa"/>
          <w:right w:w="108" w:type="dxa"/>
        </w:tblCellMar>
      </w:tblPr>
      <w:tblGrid>
        <w:gridCol w:w="1620"/>
        <w:gridCol w:w="6840"/>
      </w:tblGrid>
      <w:tr>
        <w:tblPrEx>
          <w:tblCellMar>
            <w:top w:w="0" w:type="dxa"/>
            <w:left w:w="108" w:type="dxa"/>
            <w:bottom w:w="0" w:type="dxa"/>
            <w:right w:w="108" w:type="dxa"/>
          </w:tblCellMar>
        </w:tblPrEx>
        <w:trPr>
          <w:wBefore w:w="0" w:type="dxa"/>
          <w:wAfter w:w="0" w:type="dxa"/>
          <w:trHeight w:val="435" w:hRule="atLeast"/>
        </w:trPr>
        <w:tc>
          <w:tcPr>
            <w:tcW w:w="1620" w:type="dxa"/>
            <w:noWrap w:val="0"/>
            <w:vAlign w:val="bottom"/>
          </w:tcPr>
          <w:p>
            <w:pPr>
              <w:spacing w:after="46" w:afterLines="15"/>
              <w:ind w:left="-105" w:leftChars="-50" w:right="-105" w:rightChars="-50"/>
              <w:rPr>
                <w:rFonts w:hint="eastAsia" w:ascii="宋体" w:hAnsi="宋体"/>
                <w:b/>
                <w:szCs w:val="21"/>
              </w:rPr>
            </w:pPr>
            <w:r>
              <w:rPr>
                <w:rFonts w:hint="eastAsia" w:ascii="宋体" w:hAnsi="宋体"/>
                <w:b/>
                <w:szCs w:val="21"/>
              </w:rPr>
              <w:t>科目代码、名称:</w:t>
            </w:r>
          </w:p>
        </w:tc>
        <w:tc>
          <w:tcPr>
            <w:tcW w:w="6840" w:type="dxa"/>
            <w:tcBorders>
              <w:bottom w:val="single" w:color="auto" w:sz="4" w:space="0"/>
            </w:tcBorders>
            <w:noWrap w:val="0"/>
            <w:vAlign w:val="bottom"/>
          </w:tcPr>
          <w:p>
            <w:pPr>
              <w:pStyle w:val="2"/>
              <w:spacing w:before="78" w:beforeLines="25" w:after="31" w:afterLines="10" w:line="240" w:lineRule="auto"/>
              <w:ind w:firstLine="2530" w:firstLineChars="1200"/>
              <w:rPr>
                <w:rFonts w:hint="eastAsia"/>
                <w:sz w:val="21"/>
                <w:szCs w:val="21"/>
                <w:lang w:val="de-DE"/>
              </w:rPr>
            </w:pPr>
            <w:r>
              <w:rPr>
                <w:rFonts w:hint="eastAsia"/>
                <w:color w:val="000000"/>
                <w:sz w:val="21"/>
                <w:szCs w:val="21"/>
                <w:lang w:val="de-DE"/>
              </w:rPr>
              <w:t>8</w:t>
            </w:r>
            <w:r>
              <w:rPr>
                <w:color w:val="000000"/>
                <w:sz w:val="21"/>
                <w:szCs w:val="21"/>
                <w:lang w:val="de-DE"/>
              </w:rPr>
              <w:t>63</w:t>
            </w:r>
            <w:r>
              <w:rPr>
                <w:rFonts w:hint="eastAsia"/>
                <w:color w:val="000000"/>
                <w:sz w:val="21"/>
                <w:szCs w:val="21"/>
                <w:lang w:val="de-DE"/>
              </w:rPr>
              <w:t xml:space="preserve"> 德汉互译</w:t>
            </w:r>
          </w:p>
        </w:tc>
      </w:tr>
    </w:tbl>
    <w:p>
      <w:pPr>
        <w:numPr>
          <w:ilvl w:val="0"/>
          <w:numId w:val="1"/>
        </w:numPr>
        <w:spacing w:before="312" w:beforeLines="100" w:after="31" w:afterLines="10" w:line="360" w:lineRule="auto"/>
        <w:rPr>
          <w:rFonts w:hint="eastAsia"/>
          <w:b/>
          <w:szCs w:val="21"/>
        </w:rPr>
      </w:pPr>
      <w:r>
        <w:rPr>
          <w:rFonts w:hint="eastAsia"/>
          <w:b/>
          <w:sz w:val="24"/>
        </w:rPr>
        <w:t xml:space="preserve">考试形式与试卷结构 </w:t>
      </w:r>
      <w:r>
        <w:rPr>
          <w:rFonts w:hint="eastAsia"/>
          <w:b/>
          <w:szCs w:val="21"/>
        </w:rPr>
        <w:t xml:space="preserve">   </w:t>
      </w:r>
    </w:p>
    <w:p>
      <w:pPr>
        <w:pStyle w:val="11"/>
        <w:numPr>
          <w:ilvl w:val="0"/>
          <w:numId w:val="2"/>
        </w:numPr>
        <w:spacing w:before="31" w:beforeLines="10" w:after="31" w:afterLines="10" w:line="360" w:lineRule="auto"/>
        <w:ind w:firstLine="422"/>
        <w:rPr>
          <w:rFonts w:hint="eastAsia"/>
          <w:b/>
          <w:szCs w:val="21"/>
        </w:rPr>
      </w:pPr>
      <w:r>
        <w:rPr>
          <w:rFonts w:hint="eastAsia"/>
          <w:b/>
          <w:szCs w:val="21"/>
        </w:rPr>
        <w:t>试卷满分值及考试时间</w:t>
      </w:r>
    </w:p>
    <w:p>
      <w:pPr>
        <w:pStyle w:val="11"/>
        <w:spacing w:before="31" w:beforeLines="10" w:after="31" w:afterLines="10" w:line="360" w:lineRule="auto"/>
        <w:ind w:firstLine="0" w:firstLineChars="0"/>
        <w:rPr>
          <w:rFonts w:ascii="新宋体" w:hAnsi="新宋体" w:eastAsia="新宋体"/>
          <w:szCs w:val="21"/>
        </w:rPr>
      </w:pPr>
      <w:r>
        <w:rPr>
          <w:rFonts w:hint="eastAsia" w:ascii="新宋体" w:hAnsi="新宋体" w:eastAsia="新宋体"/>
          <w:b/>
          <w:bCs/>
          <w:color w:val="FF0000"/>
          <w:szCs w:val="21"/>
        </w:rPr>
        <w:t xml:space="preserve">   </w:t>
      </w:r>
      <w:r>
        <w:rPr>
          <w:rFonts w:hint="eastAsia" w:ascii="新宋体" w:hAnsi="新宋体" w:eastAsia="新宋体"/>
          <w:szCs w:val="21"/>
        </w:rPr>
        <w:t>本试卷满分为150分，考试时间为180分钟。</w:t>
      </w:r>
    </w:p>
    <w:p>
      <w:pPr>
        <w:pStyle w:val="12"/>
        <w:spacing w:before="31" w:beforeLines="10" w:after="31" w:afterLines="10" w:line="360" w:lineRule="auto"/>
        <w:ind w:firstLine="0" w:firstLineChars="0"/>
        <w:rPr>
          <w:rFonts w:ascii="新宋体" w:hAnsi="新宋体" w:eastAsia="新宋体"/>
          <w:b/>
          <w:szCs w:val="21"/>
        </w:rPr>
      </w:pPr>
      <w:r>
        <w:rPr>
          <w:rFonts w:hint="eastAsia" w:ascii="新宋体" w:hAnsi="新宋体" w:eastAsia="新宋体"/>
          <w:b/>
          <w:szCs w:val="21"/>
        </w:rPr>
        <w:t xml:space="preserve">    （二）答题方式</w:t>
      </w:r>
    </w:p>
    <w:p>
      <w:pPr>
        <w:pStyle w:val="12"/>
        <w:spacing w:before="31" w:beforeLines="10" w:after="31" w:afterLines="10" w:line="360" w:lineRule="auto"/>
        <w:rPr>
          <w:rFonts w:hint="eastAsia" w:ascii="新宋体" w:hAnsi="新宋体" w:eastAsia="新宋体"/>
          <w:szCs w:val="21"/>
        </w:rPr>
      </w:pPr>
      <w:r>
        <w:rPr>
          <w:rFonts w:hint="eastAsia" w:ascii="新宋体" w:hAnsi="新宋体" w:eastAsia="新宋体"/>
          <w:szCs w:val="21"/>
        </w:rPr>
        <w:t xml:space="preserve"> 答题方式为闭卷、笔试。试卷由试题和答题纸组成；答案必须写在答题纸（由考点提供）相应的位置上。</w:t>
      </w:r>
    </w:p>
    <w:p>
      <w:pPr>
        <w:pStyle w:val="12"/>
        <w:spacing w:before="31" w:beforeLines="10" w:after="31" w:afterLines="10" w:line="360" w:lineRule="auto"/>
        <w:ind w:firstLine="422"/>
        <w:rPr>
          <w:rFonts w:hint="eastAsia"/>
          <w:b/>
          <w:szCs w:val="21"/>
        </w:rPr>
      </w:pPr>
      <w:r>
        <w:rPr>
          <w:rFonts w:hint="eastAsia" w:ascii="新宋体" w:hAnsi="新宋体" w:eastAsia="新宋体"/>
          <w:b/>
          <w:szCs w:val="21"/>
        </w:rPr>
        <w:t>（三）试卷内容结构</w:t>
      </w:r>
    </w:p>
    <w:p>
      <w:pPr>
        <w:pStyle w:val="12"/>
        <w:spacing w:before="31" w:beforeLines="10" w:after="31" w:afterLines="10" w:line="360" w:lineRule="auto"/>
        <w:ind w:left="420" w:firstLine="0" w:firstLineChars="0"/>
        <w:rPr>
          <w:rFonts w:hint="eastAsia" w:ascii="新宋体" w:hAnsi="新宋体" w:eastAsia="新宋体"/>
          <w:szCs w:val="21"/>
        </w:rPr>
      </w:pPr>
      <w:r>
        <w:rPr>
          <w:rFonts w:hint="eastAsia" w:cs="宋体"/>
        </w:rPr>
        <w:t>考试内容涵盖</w:t>
      </w:r>
      <w:r>
        <w:rPr>
          <w:rFonts w:hint="eastAsia" w:ascii="新宋体" w:hAnsi="新宋体" w:eastAsia="新宋体"/>
          <w:szCs w:val="21"/>
        </w:rPr>
        <w:t>德译汉和汉译德两个部分。</w:t>
      </w:r>
    </w:p>
    <w:p>
      <w:pPr>
        <w:pStyle w:val="12"/>
        <w:numPr>
          <w:ilvl w:val="0"/>
          <w:numId w:val="3"/>
        </w:numPr>
        <w:spacing w:before="31" w:beforeLines="10" w:after="31" w:afterLines="10" w:line="360" w:lineRule="auto"/>
        <w:ind w:firstLine="422"/>
        <w:rPr>
          <w:rFonts w:hint="eastAsia" w:ascii="新宋体" w:hAnsi="新宋体" w:eastAsia="新宋体"/>
          <w:b/>
          <w:szCs w:val="21"/>
        </w:rPr>
      </w:pPr>
      <w:r>
        <w:rPr>
          <w:rFonts w:hint="eastAsia" w:ascii="新宋体" w:hAnsi="新宋体" w:eastAsia="新宋体"/>
          <w:b/>
          <w:szCs w:val="21"/>
        </w:rPr>
        <w:t>试卷题型结构</w:t>
      </w:r>
    </w:p>
    <w:p>
      <w:pPr>
        <w:ind w:firstLine="315" w:firstLineChars="150"/>
        <w:rPr>
          <w:rFonts w:hint="eastAsia" w:ascii="宋体" w:hAnsi="宋体" w:cs="宋体"/>
          <w:color w:val="000000"/>
          <w:kern w:val="0"/>
          <w:szCs w:val="21"/>
        </w:rPr>
      </w:pPr>
      <w:r>
        <w:rPr>
          <w:rFonts w:hint="eastAsia" w:ascii="宋体" w:hAnsi="宋体" w:cs="宋体"/>
          <w:color w:val="000000"/>
          <w:kern w:val="0"/>
          <w:szCs w:val="21"/>
        </w:rPr>
        <w:t>第一部分德译汉，分为两种题型。</w:t>
      </w:r>
    </w:p>
    <w:p>
      <w:pPr>
        <w:ind w:left="840"/>
        <w:rPr>
          <w:rFonts w:hint="eastAsia" w:ascii="宋体" w:hAnsi="宋体" w:cs="宋体"/>
          <w:color w:val="000000"/>
          <w:kern w:val="0"/>
          <w:szCs w:val="21"/>
        </w:rPr>
      </w:pPr>
      <w:r>
        <w:rPr>
          <w:rFonts w:hint="eastAsia" w:ascii="宋体" w:hAnsi="宋体" w:cs="宋体"/>
          <w:color w:val="000000"/>
          <w:kern w:val="0"/>
          <w:szCs w:val="21"/>
        </w:rPr>
        <w:t>1.将一段德文文章译成汉语，约400-450词左右，要求译文准确、流畅、符合汉语表达方式、基本再现原作的风格。</w:t>
      </w:r>
    </w:p>
    <w:p>
      <w:pPr>
        <w:ind w:left="420" w:firstLine="420"/>
        <w:rPr>
          <w:rFonts w:hint="eastAsia" w:ascii="宋体" w:hAnsi="宋体"/>
          <w:color w:val="000000"/>
          <w:szCs w:val="21"/>
        </w:rPr>
      </w:pPr>
      <w:r>
        <w:rPr>
          <w:rFonts w:hint="eastAsia" w:ascii="宋体" w:hAnsi="宋体" w:cs="宋体"/>
          <w:color w:val="000000"/>
          <w:kern w:val="0"/>
          <w:szCs w:val="21"/>
        </w:rPr>
        <w:t>2.将5个句子由德语译成汉语。</w:t>
      </w:r>
    </w:p>
    <w:p>
      <w:pPr>
        <w:ind w:firstLine="308" w:firstLineChars="147"/>
        <w:rPr>
          <w:rFonts w:hint="eastAsia" w:ascii="宋体" w:hAnsi="宋体"/>
          <w:color w:val="000000"/>
          <w:szCs w:val="21"/>
        </w:rPr>
      </w:pPr>
      <w:r>
        <w:rPr>
          <w:rFonts w:hint="eastAsia" w:ascii="宋体" w:hAnsi="宋体"/>
          <w:color w:val="000000"/>
          <w:szCs w:val="21"/>
        </w:rPr>
        <w:t>第二部分汉译德</w:t>
      </w:r>
      <w:r>
        <w:rPr>
          <w:rFonts w:hint="eastAsia" w:ascii="宋体" w:hAnsi="宋体" w:cs="宋体"/>
          <w:color w:val="000000"/>
          <w:kern w:val="0"/>
          <w:szCs w:val="21"/>
        </w:rPr>
        <w:t>，分为两种题型。</w:t>
      </w:r>
    </w:p>
    <w:p>
      <w:pPr>
        <w:ind w:left="840"/>
        <w:rPr>
          <w:rFonts w:hint="eastAsia" w:ascii="宋体" w:hAnsi="宋体" w:cs="宋体"/>
          <w:color w:val="000000"/>
          <w:kern w:val="0"/>
          <w:szCs w:val="21"/>
        </w:rPr>
      </w:pPr>
      <w:r>
        <w:rPr>
          <w:rFonts w:hint="eastAsia" w:ascii="宋体" w:hAnsi="宋体" w:cs="宋体"/>
          <w:color w:val="000000"/>
          <w:kern w:val="0"/>
          <w:szCs w:val="21"/>
        </w:rPr>
        <w:t>1.将一段中文文章译成德语，约350-400字左右；要求译文准确、流畅、符合德文表达方式、基本再现原作的风格。</w:t>
      </w:r>
    </w:p>
    <w:p>
      <w:pPr>
        <w:ind w:left="420" w:firstLine="420"/>
        <w:rPr>
          <w:rFonts w:hint="eastAsia" w:ascii="宋体" w:hAnsi="宋体"/>
          <w:color w:val="000000"/>
          <w:szCs w:val="21"/>
        </w:rPr>
      </w:pPr>
      <w:r>
        <w:rPr>
          <w:rFonts w:hint="eastAsia" w:ascii="宋体" w:hAnsi="宋体"/>
          <w:color w:val="000000"/>
          <w:szCs w:val="21"/>
        </w:rPr>
        <w:t xml:space="preserve">2.将5个汉语句子翻译成德语。 </w:t>
      </w:r>
    </w:p>
    <w:p/>
    <w:p>
      <w:pPr>
        <w:spacing w:line="360" w:lineRule="auto"/>
        <w:rPr>
          <w:b/>
          <w:sz w:val="24"/>
        </w:rPr>
      </w:pPr>
      <w:r>
        <w:rPr>
          <w:rFonts w:hint="eastAsia"/>
          <w:b/>
          <w:sz w:val="24"/>
        </w:rPr>
        <w:t>二、考查目标</w:t>
      </w:r>
    </w:p>
    <w:p>
      <w:pPr>
        <w:spacing w:line="360" w:lineRule="auto"/>
        <w:ind w:firstLine="420" w:firstLineChars="200"/>
        <w:rPr>
          <w:rFonts w:hint="eastAsia" w:ascii="宋体" w:hAnsi="宋体" w:cs="Arial"/>
          <w:color w:val="000000"/>
          <w:szCs w:val="21"/>
        </w:rPr>
      </w:pPr>
      <w:r>
        <w:rPr>
          <w:rFonts w:hint="eastAsia" w:ascii="宋体" w:hAnsi="宋体" w:cs="宋体"/>
          <w:color w:val="000000"/>
          <w:kern w:val="0"/>
          <w:szCs w:val="21"/>
        </w:rPr>
        <w:t>德汉互译主要考查考生的语言综合和翻译能力。德译汉部分主要测试考生的理解能力、翻译技巧和汉语表达能力。汉译德部分主要测试考生德语基础、翻译技巧、德语表达及组织能力。</w:t>
      </w:r>
    </w:p>
    <w:p>
      <w:pPr>
        <w:numPr>
          <w:ilvl w:val="0"/>
          <w:numId w:val="4"/>
        </w:numPr>
        <w:spacing w:before="31" w:beforeLines="10" w:after="31" w:afterLines="10" w:line="360" w:lineRule="auto"/>
        <w:rPr>
          <w:rFonts w:hint="eastAsia"/>
          <w:b/>
          <w:sz w:val="24"/>
        </w:rPr>
      </w:pPr>
      <w:r>
        <w:rPr>
          <w:rFonts w:hint="eastAsia"/>
          <w:b/>
          <w:sz w:val="24"/>
        </w:rPr>
        <w:t>考试内容概要</w:t>
      </w:r>
    </w:p>
    <w:p>
      <w:pPr>
        <w:ind w:left="435" w:leftChars="207"/>
        <w:rPr>
          <w:rFonts w:hint="eastAsia" w:ascii="宋体" w:hAnsi="宋体" w:cs="Arial"/>
          <w:color w:val="000000"/>
          <w:szCs w:val="21"/>
        </w:rPr>
      </w:pPr>
      <w:r>
        <w:rPr>
          <w:rFonts w:hint="eastAsia" w:ascii="宋体" w:hAnsi="宋体" w:cs="Arial"/>
          <w:color w:val="000000"/>
          <w:szCs w:val="21"/>
        </w:rPr>
        <w:t>1． 第一部分德译汉中的文章翻译部分，主要考察学生能否正确理解原文、掌握德语专业本科阶段应该掌握的词汇和表达方式， 同时测验考生的翻译能力和汉语表达能力。</w:t>
      </w:r>
    </w:p>
    <w:p>
      <w:pPr>
        <w:ind w:left="435" w:leftChars="207"/>
        <w:rPr>
          <w:rFonts w:hint="eastAsia" w:ascii="宋体" w:hAnsi="宋体" w:cs="Arial"/>
          <w:color w:val="000000"/>
          <w:szCs w:val="21"/>
        </w:rPr>
      </w:pPr>
      <w:r>
        <w:rPr>
          <w:rFonts w:hint="eastAsia" w:ascii="宋体" w:hAnsi="宋体" w:cs="Arial"/>
          <w:color w:val="000000"/>
          <w:szCs w:val="21"/>
        </w:rPr>
        <w:t>德译汉中的句子翻译部分主要测验考生理解和翻译较为复杂的德语句型的能力。</w:t>
      </w:r>
    </w:p>
    <w:p>
      <w:pPr>
        <w:ind w:left="435" w:leftChars="207"/>
        <w:rPr>
          <w:rFonts w:hint="eastAsia" w:ascii="宋体" w:hAnsi="宋体" w:cs="Arial"/>
          <w:color w:val="000000"/>
          <w:szCs w:val="21"/>
        </w:rPr>
      </w:pPr>
    </w:p>
    <w:p>
      <w:pPr>
        <w:ind w:firstLine="435"/>
        <w:rPr>
          <w:rFonts w:hint="eastAsia" w:cs="宋体"/>
        </w:rPr>
      </w:pPr>
      <w:r>
        <w:rPr>
          <w:rFonts w:hint="eastAsia" w:ascii="宋体" w:hAnsi="宋体" w:cs="Arial"/>
          <w:color w:val="000000"/>
          <w:szCs w:val="21"/>
        </w:rPr>
        <w:t>2. 第二部分汉译德的文章部分，主要测试考生的汉语理解、翻译技巧、德语表达及组织能力。</w:t>
      </w:r>
    </w:p>
    <w:p>
      <w:pPr>
        <w:rPr>
          <w:rFonts w:hint="eastAsia" w:ascii="宋体"/>
        </w:rPr>
      </w:pPr>
      <w:r>
        <w:rPr>
          <w:rFonts w:hint="eastAsia" w:ascii="宋体"/>
        </w:rPr>
        <w:t xml:space="preserve">   汉译德中的句子翻译部分，主要测验考生的德文表达能力和翻译能力。</w:t>
      </w:r>
    </w:p>
    <w:p>
      <w:pPr>
        <w:spacing w:before="31" w:beforeLines="10" w:after="31" w:afterLines="10" w:line="360" w:lineRule="auto"/>
        <w:rPr>
          <w:rFonts w:hint="eastAsia"/>
          <w:szCs w:val="21"/>
        </w:rPr>
      </w:pPr>
      <w:r>
        <w:rPr>
          <w:rFonts w:hint="eastAsia"/>
          <w:szCs w:val="21"/>
        </w:rPr>
        <w:t xml:space="preserve">    </w:t>
      </w:r>
    </w:p>
    <w:p>
      <w:pPr>
        <w:spacing w:before="31" w:beforeLines="10" w:after="31" w:afterLines="10" w:line="360" w:lineRule="auto"/>
        <w:ind w:left="420" w:leftChars="200"/>
        <w:rPr>
          <w:rFonts w:hint="eastAsia"/>
          <w:szCs w:val="21"/>
        </w:rPr>
      </w:pPr>
      <w:r>
        <w:rPr>
          <w:rFonts w:hint="eastAsia"/>
          <w:b/>
          <w:szCs w:val="21"/>
        </w:rPr>
        <w:t>参考教材或主要参考书</w:t>
      </w:r>
      <w:r>
        <w:rPr>
          <w:rFonts w:hint="eastAsia"/>
          <w:szCs w:val="21"/>
        </w:rPr>
        <w:t>：</w:t>
      </w:r>
    </w:p>
    <w:p>
      <w:pPr>
        <w:spacing w:before="31" w:beforeLines="10" w:after="31" w:afterLines="10" w:line="360" w:lineRule="auto"/>
        <w:ind w:left="420" w:leftChars="200"/>
        <w:rPr>
          <w:rFonts w:hint="eastAsia"/>
          <w:szCs w:val="21"/>
        </w:rPr>
      </w:pPr>
      <w:r>
        <w:rPr>
          <w:rFonts w:hint="eastAsia"/>
          <w:szCs w:val="21"/>
        </w:rPr>
        <w:t>实用德汉翻译教程：德汉-汉德  普通高等教育“十一五”国家级规划教材，桂乾元，同济大学出版社 2009年。</w:t>
      </w:r>
    </w:p>
    <w:sectPr>
      <w:headerReference r:id="rId3" w:type="default"/>
      <w:footerReference r:id="rId4" w:type="default"/>
      <w:footerReference r:id="rId5" w:type="even"/>
      <w:pgSz w:w="11164" w:h="15485"/>
      <w:pgMar w:top="1361" w:right="1361" w:bottom="1247" w:left="136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1"/>
        <w:szCs w:val="21"/>
      </w:rPr>
    </w:pPr>
    <w:r>
      <w:rPr>
        <w:rFonts w:hint="eastAsia"/>
        <w:sz w:val="21"/>
        <w:szCs w:val="21"/>
      </w:rPr>
      <w:t>第</w:t>
    </w:r>
    <w:r>
      <w:rPr>
        <w:sz w:val="21"/>
        <w:szCs w:val="21"/>
      </w:rPr>
      <w:fldChar w:fldCharType="begin"/>
    </w:r>
    <w:r>
      <w:rPr>
        <w:rStyle w:val="8"/>
        <w:sz w:val="21"/>
        <w:szCs w:val="21"/>
      </w:rPr>
      <w:instrText xml:space="preserve"> PAGE </w:instrText>
    </w:r>
    <w:r>
      <w:rPr>
        <w:sz w:val="21"/>
        <w:szCs w:val="21"/>
      </w:rPr>
      <w:fldChar w:fldCharType="separate"/>
    </w:r>
    <w:r>
      <w:rPr>
        <w:rStyle w:val="8"/>
        <w:sz w:val="21"/>
        <w:szCs w:val="21"/>
        <w:lang/>
      </w:rPr>
      <w:t>2</w:t>
    </w:r>
    <w:r>
      <w:rPr>
        <w:sz w:val="21"/>
        <w:szCs w:val="21"/>
      </w:rPr>
      <w:fldChar w:fldCharType="end"/>
    </w:r>
    <w:r>
      <w:rPr>
        <w:rFonts w:hint="eastAsia"/>
        <w:sz w:val="21"/>
        <w:szCs w:val="21"/>
      </w:rPr>
      <w:t>页，共</w:t>
    </w:r>
    <w:r>
      <w:rPr>
        <w:sz w:val="21"/>
        <w:szCs w:val="21"/>
      </w:rPr>
      <w:fldChar w:fldCharType="begin"/>
    </w:r>
    <w:r>
      <w:rPr>
        <w:rStyle w:val="8"/>
        <w:sz w:val="21"/>
        <w:szCs w:val="21"/>
      </w:rPr>
      <w:instrText xml:space="preserve"> NUMPAGES </w:instrText>
    </w:r>
    <w:r>
      <w:rPr>
        <w:sz w:val="21"/>
        <w:szCs w:val="21"/>
      </w:rPr>
      <w:fldChar w:fldCharType="separate"/>
    </w:r>
    <w:r>
      <w:rPr>
        <w:rStyle w:val="8"/>
        <w:sz w:val="21"/>
        <w:szCs w:val="21"/>
        <w:lang/>
      </w:rPr>
      <w:t>2</w:t>
    </w:r>
    <w:r>
      <w:rPr>
        <w:sz w:val="21"/>
        <w:szCs w:val="21"/>
      </w:rPr>
      <w:fldChar w:fldCharType="end"/>
    </w:r>
    <w:r>
      <w:rPr>
        <w:rFonts w:hint="eastAsia"/>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7FBF9"/>
    <w:multiLevelType w:val="singleLevel"/>
    <w:tmpl w:val="5907FBF9"/>
    <w:lvl w:ilvl="0" w:tentative="0">
      <w:start w:val="1"/>
      <w:numFmt w:val="chineseCounting"/>
      <w:suff w:val="nothing"/>
      <w:lvlText w:val="%1、"/>
      <w:lvlJc w:val="left"/>
    </w:lvl>
  </w:abstractNum>
  <w:abstractNum w:abstractNumId="1">
    <w:nsid w:val="5907FC4F"/>
    <w:multiLevelType w:val="singleLevel"/>
    <w:tmpl w:val="5907FC4F"/>
    <w:lvl w:ilvl="0" w:tentative="0">
      <w:start w:val="1"/>
      <w:numFmt w:val="chineseCounting"/>
      <w:suff w:val="nothing"/>
      <w:lvlText w:val="（%1）"/>
      <w:lvlJc w:val="left"/>
    </w:lvl>
  </w:abstractNum>
  <w:abstractNum w:abstractNumId="2">
    <w:nsid w:val="5907FE2A"/>
    <w:multiLevelType w:val="singleLevel"/>
    <w:tmpl w:val="5907FE2A"/>
    <w:lvl w:ilvl="0" w:tentative="0">
      <w:start w:val="3"/>
      <w:numFmt w:val="chineseCounting"/>
      <w:suff w:val="nothing"/>
      <w:lvlText w:val="%1、"/>
      <w:lvlJc w:val="left"/>
    </w:lvl>
  </w:abstractNum>
  <w:abstractNum w:abstractNumId="3">
    <w:nsid w:val="5945462F"/>
    <w:multiLevelType w:val="singleLevel"/>
    <w:tmpl w:val="5945462F"/>
    <w:lvl w:ilvl="0" w:tentative="0">
      <w:start w:val="4"/>
      <w:numFmt w:val="chineseCounting"/>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iYTc5MWJiNjcwNDZhZWVlNDkyMTc4YmRiZWI1OTQifQ=="/>
  </w:docVars>
  <w:rsids>
    <w:rsidRoot w:val="004B65A5"/>
    <w:rsid w:val="00002DC3"/>
    <w:rsid w:val="00054E01"/>
    <w:rsid w:val="00061B4F"/>
    <w:rsid w:val="000762FE"/>
    <w:rsid w:val="00080730"/>
    <w:rsid w:val="0008607A"/>
    <w:rsid w:val="00097EDA"/>
    <w:rsid w:val="000C25FD"/>
    <w:rsid w:val="000E6981"/>
    <w:rsid w:val="000F2EAD"/>
    <w:rsid w:val="000F430F"/>
    <w:rsid w:val="001640BE"/>
    <w:rsid w:val="001848FB"/>
    <w:rsid w:val="0019067F"/>
    <w:rsid w:val="00197215"/>
    <w:rsid w:val="001A3906"/>
    <w:rsid w:val="001B1D70"/>
    <w:rsid w:val="001C165A"/>
    <w:rsid w:val="001C2F19"/>
    <w:rsid w:val="001E149A"/>
    <w:rsid w:val="001F2835"/>
    <w:rsid w:val="0020731D"/>
    <w:rsid w:val="0023282D"/>
    <w:rsid w:val="0024344A"/>
    <w:rsid w:val="00255908"/>
    <w:rsid w:val="002911C2"/>
    <w:rsid w:val="002A5C7C"/>
    <w:rsid w:val="002E0158"/>
    <w:rsid w:val="00311038"/>
    <w:rsid w:val="0033096F"/>
    <w:rsid w:val="003704C9"/>
    <w:rsid w:val="00375432"/>
    <w:rsid w:val="003852C3"/>
    <w:rsid w:val="003A4FD9"/>
    <w:rsid w:val="003B48F8"/>
    <w:rsid w:val="003C4384"/>
    <w:rsid w:val="003C498A"/>
    <w:rsid w:val="003E6790"/>
    <w:rsid w:val="003F61C3"/>
    <w:rsid w:val="00415864"/>
    <w:rsid w:val="00443036"/>
    <w:rsid w:val="004523EF"/>
    <w:rsid w:val="004674EE"/>
    <w:rsid w:val="00477338"/>
    <w:rsid w:val="004A72D7"/>
    <w:rsid w:val="004B65A5"/>
    <w:rsid w:val="004D42EC"/>
    <w:rsid w:val="004F1816"/>
    <w:rsid w:val="00521CC0"/>
    <w:rsid w:val="00525F02"/>
    <w:rsid w:val="00535C1D"/>
    <w:rsid w:val="005743BB"/>
    <w:rsid w:val="00581E66"/>
    <w:rsid w:val="00597CBE"/>
    <w:rsid w:val="005A796B"/>
    <w:rsid w:val="005B21BB"/>
    <w:rsid w:val="005B4B62"/>
    <w:rsid w:val="005D4E2D"/>
    <w:rsid w:val="005E2211"/>
    <w:rsid w:val="00696C06"/>
    <w:rsid w:val="006A0697"/>
    <w:rsid w:val="006E0495"/>
    <w:rsid w:val="006E364B"/>
    <w:rsid w:val="006F0569"/>
    <w:rsid w:val="006F7BB8"/>
    <w:rsid w:val="0072114F"/>
    <w:rsid w:val="00741BA4"/>
    <w:rsid w:val="0076443A"/>
    <w:rsid w:val="00786EAA"/>
    <w:rsid w:val="007D6FDB"/>
    <w:rsid w:val="007E298C"/>
    <w:rsid w:val="007F4C05"/>
    <w:rsid w:val="00830FF2"/>
    <w:rsid w:val="00864E9F"/>
    <w:rsid w:val="0087510B"/>
    <w:rsid w:val="008921C1"/>
    <w:rsid w:val="00893B85"/>
    <w:rsid w:val="008A1AA2"/>
    <w:rsid w:val="008A3308"/>
    <w:rsid w:val="00953564"/>
    <w:rsid w:val="00971C90"/>
    <w:rsid w:val="00986FD0"/>
    <w:rsid w:val="00991A5E"/>
    <w:rsid w:val="009A6931"/>
    <w:rsid w:val="009F4296"/>
    <w:rsid w:val="00A26EEB"/>
    <w:rsid w:val="00A605E9"/>
    <w:rsid w:val="00A63AC6"/>
    <w:rsid w:val="00A8099C"/>
    <w:rsid w:val="00AB2D7C"/>
    <w:rsid w:val="00AD73EE"/>
    <w:rsid w:val="00AF259D"/>
    <w:rsid w:val="00B10A84"/>
    <w:rsid w:val="00B53FB4"/>
    <w:rsid w:val="00B54A9F"/>
    <w:rsid w:val="00B84AB9"/>
    <w:rsid w:val="00BB42AE"/>
    <w:rsid w:val="00BE2F94"/>
    <w:rsid w:val="00C0571C"/>
    <w:rsid w:val="00C176BC"/>
    <w:rsid w:val="00C404D4"/>
    <w:rsid w:val="00C519A8"/>
    <w:rsid w:val="00C5668E"/>
    <w:rsid w:val="00C65797"/>
    <w:rsid w:val="00C7337E"/>
    <w:rsid w:val="00C76400"/>
    <w:rsid w:val="00CB135C"/>
    <w:rsid w:val="00CE1668"/>
    <w:rsid w:val="00CE45F9"/>
    <w:rsid w:val="00D029C7"/>
    <w:rsid w:val="00D3581C"/>
    <w:rsid w:val="00D36237"/>
    <w:rsid w:val="00D45D43"/>
    <w:rsid w:val="00D60C8A"/>
    <w:rsid w:val="00D76B44"/>
    <w:rsid w:val="00D82DC4"/>
    <w:rsid w:val="00D94FF9"/>
    <w:rsid w:val="00DB3660"/>
    <w:rsid w:val="00DD7E22"/>
    <w:rsid w:val="00DE2F8D"/>
    <w:rsid w:val="00DE640D"/>
    <w:rsid w:val="00E1145D"/>
    <w:rsid w:val="00E31480"/>
    <w:rsid w:val="00E6651A"/>
    <w:rsid w:val="00E8034E"/>
    <w:rsid w:val="00EC6FF8"/>
    <w:rsid w:val="00EE3A0D"/>
    <w:rsid w:val="00EF1CE7"/>
    <w:rsid w:val="00EF323F"/>
    <w:rsid w:val="00F26E36"/>
    <w:rsid w:val="00F37904"/>
    <w:rsid w:val="00F6656C"/>
    <w:rsid w:val="00F706E1"/>
    <w:rsid w:val="00F70D0A"/>
    <w:rsid w:val="00F9484E"/>
    <w:rsid w:val="00FB5637"/>
    <w:rsid w:val="00FE5C11"/>
    <w:rsid w:val="00FE73E9"/>
    <w:rsid w:val="01B42CE8"/>
    <w:rsid w:val="07DE2F50"/>
    <w:rsid w:val="081D6CD9"/>
    <w:rsid w:val="0E3513AA"/>
    <w:rsid w:val="11BA65F3"/>
    <w:rsid w:val="218131B3"/>
    <w:rsid w:val="2209174A"/>
    <w:rsid w:val="27961BFE"/>
    <w:rsid w:val="27DF24C3"/>
    <w:rsid w:val="2BA31F0C"/>
    <w:rsid w:val="2D565325"/>
    <w:rsid w:val="2E5C00AA"/>
    <w:rsid w:val="39054CF9"/>
    <w:rsid w:val="3C954236"/>
    <w:rsid w:val="3E1E2E78"/>
    <w:rsid w:val="40C9363E"/>
    <w:rsid w:val="41701C4C"/>
    <w:rsid w:val="43E96A5E"/>
    <w:rsid w:val="491E1569"/>
    <w:rsid w:val="49440C1B"/>
    <w:rsid w:val="4E0A3C16"/>
    <w:rsid w:val="52BB2CAF"/>
    <w:rsid w:val="5B1514D6"/>
    <w:rsid w:val="602C451F"/>
    <w:rsid w:val="63D248BA"/>
    <w:rsid w:val="64EE6C81"/>
    <w:rsid w:val="6DD56026"/>
    <w:rsid w:val="71CD35B0"/>
    <w:rsid w:val="73B64EA7"/>
    <w:rsid w:val="7949045E"/>
    <w:rsid w:val="7BB953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rPr>
      <w:lang w:val="en-US" w:eastAsia="zh-CN" w:bidi="ar-SA"/>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character" w:styleId="9">
    <w:name w:val="Emphasis"/>
    <w:qFormat/>
    <w:uiPriority w:val="0"/>
    <w:rPr>
      <w:i/>
      <w:iCs/>
    </w:rPr>
  </w:style>
  <w:style w:type="character" w:styleId="10">
    <w:name w:val="Hyperlink"/>
    <w:uiPriority w:val="0"/>
    <w:rPr>
      <w:color w:val="0000FF"/>
      <w:u w:val="single"/>
    </w:rPr>
  </w:style>
  <w:style w:type="paragraph" w:customStyle="1" w:styleId="11">
    <w:name w:val="_Style 1"/>
    <w:basedOn w:val="1"/>
    <w:qFormat/>
    <w:uiPriority w:val="0"/>
    <w:pPr>
      <w:ind w:firstLine="420" w:firstLineChars="200"/>
    </w:pPr>
  </w:style>
  <w:style w:type="paragraph" w:styleId="12">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jh</Company>
  <Pages>2</Pages>
  <Words>646</Words>
  <Characters>675</Characters>
  <Lines>5</Lines>
  <Paragraphs>1</Paragraphs>
  <TotalTime>0</TotalTime>
  <ScaleCrop>false</ScaleCrop>
  <LinksUpToDate>false</LinksUpToDate>
  <CharactersWithSpaces>705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2017-06-18T00:17:00Z</dcterms:created>
  <dc:creator>jh</dc:creator>
  <cp:lastModifiedBy>vertesyuan</cp:lastModifiedBy>
  <cp:lastPrinted>2017-07-04T08:34:00Z</cp:lastPrinted>
  <dcterms:modified xsi:type="dcterms:W3CDTF">2023-12-05T05:05:16Z</dcterms:modified>
  <dc:title>浙江师范大学2009年硕士研究生入学考试复试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8B952DB050FE42E18C7D247585FD8080_13</vt:lpwstr>
  </property>
</Properties>
</file>