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color w:val="auto"/>
          <w:sz w:val="32"/>
          <w:szCs w:val="32"/>
        </w:rPr>
        <w:t>202</w:t>
      </w:r>
      <w:r>
        <w:rPr>
          <w:rFonts w:ascii="黑体" w:eastAsia="黑体"/>
          <w:b/>
          <w:color w:val="auto"/>
          <w:sz w:val="32"/>
          <w:szCs w:val="32"/>
        </w:rPr>
        <w:t>4</w:t>
      </w:r>
      <w:r>
        <w:rPr>
          <w:rFonts w:hint="eastAsia" w:ascii="黑体" w:eastAsia="黑体"/>
          <w:b/>
          <w:color w:val="auto"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color w:val="auto"/>
          <w:sz w:val="32"/>
          <w:szCs w:val="32"/>
        </w:rPr>
        <w:br w:type="textWrapping"/>
      </w:r>
      <w:r>
        <w:rPr>
          <w:rFonts w:hint="eastAsia" w:ascii="黑体" w:eastAsia="黑体"/>
          <w:b/>
          <w:color w:val="auto"/>
          <w:sz w:val="32"/>
          <w:szCs w:val="32"/>
        </w:rPr>
        <w:t>考　试　大　纲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auto"/>
                <w:szCs w:val="21"/>
              </w:rPr>
            </w:pPr>
          </w:p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14"/>
              <w:spacing w:line="300" w:lineRule="atLeast"/>
              <w:ind w:firstLine="1370" w:firstLineChars="650"/>
              <w:rPr>
                <w:rFonts w:eastAsia="宋体"/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u w:val="none" w:color="FF0000"/>
              </w:rPr>
              <w:t>440新闻与传播专业基础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 w:val="24"/>
        </w:rPr>
        <w:t xml:space="preserve">考试形式与试卷结构 </w:t>
      </w:r>
      <w:r>
        <w:rPr>
          <w:rFonts w:hint="eastAsia"/>
          <w:b/>
          <w:color w:val="auto"/>
          <w:szCs w:val="21"/>
        </w:rPr>
        <w:t xml:space="preserve">   </w:t>
      </w:r>
    </w:p>
    <w:p>
      <w:pPr>
        <w:pStyle w:val="13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试卷满分值及考试时间</w:t>
      </w:r>
    </w:p>
    <w:p>
      <w:pPr>
        <w:pStyle w:val="13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color w:val="auto"/>
          <w:szCs w:val="21"/>
        </w:rPr>
      </w:pPr>
      <w:r>
        <w:rPr>
          <w:rFonts w:hint="eastAsia" w:ascii="新宋体" w:hAnsi="新宋体" w:eastAsia="新宋体"/>
          <w:b/>
          <w:bCs/>
          <w:color w:val="auto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auto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 xml:space="preserve"> </w:t>
      </w:r>
      <w:r>
        <w:rPr>
          <w:rFonts w:hint="eastAsia" w:ascii="新宋体" w:hAnsi="新宋体" w:eastAsia="新宋体"/>
          <w:color w:val="auto"/>
          <w:szCs w:val="21"/>
        </w:rPr>
        <w:t>本试卷满分为150分，考试时间为180分钟。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 xml:space="preserve">    （二）答题方式</w:t>
      </w:r>
    </w:p>
    <w:p>
      <w:pPr>
        <w:pStyle w:val="12"/>
        <w:spacing w:before="31" w:beforeLines="10" w:after="31" w:afterLines="10" w:line="360" w:lineRule="auto"/>
        <w:rPr>
          <w:rFonts w:hint="eastAsia" w:ascii="新宋体" w:hAnsi="新宋体" w:eastAsia="新宋体"/>
          <w:color w:val="auto"/>
          <w:szCs w:val="21"/>
        </w:rPr>
      </w:pPr>
      <w:r>
        <w:rPr>
          <w:rFonts w:hint="eastAsia" w:ascii="新宋体" w:hAnsi="新宋体" w:eastAsia="新宋体"/>
          <w:color w:val="auto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2"/>
        <w:spacing w:before="31" w:beforeLines="10" w:after="31" w:afterLines="10" w:line="360" w:lineRule="auto"/>
        <w:ind w:firstLine="422"/>
        <w:rPr>
          <w:rFonts w:hint="eastAsia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auto"/>
          <w:szCs w:val="21"/>
        </w:rPr>
      </w:pPr>
      <w:r>
        <w:rPr>
          <w:rFonts w:hint="eastAsia" w:ascii="宋体" w:hAnsi="宋体" w:cs="Arial"/>
          <w:color w:val="auto"/>
          <w:szCs w:val="21"/>
        </w:rPr>
        <w:t>考试内容主要包括</w:t>
      </w:r>
      <w:r>
        <w:rPr>
          <w:rFonts w:ascii="宋体" w:hAnsi="宋体" w:cs="宋体"/>
          <w:color w:val="auto"/>
          <w:kern w:val="0"/>
          <w:u w:val="none" w:color="FF0000"/>
        </w:rPr>
        <w:t>传播学与新闻学理论</w:t>
      </w:r>
      <w:r>
        <w:rPr>
          <w:rFonts w:hint="eastAsia" w:ascii="宋体" w:hAnsi="宋体" w:cs="Arial"/>
          <w:color w:val="auto"/>
          <w:szCs w:val="21"/>
        </w:rPr>
        <w:t>。</w:t>
      </w:r>
    </w:p>
    <w:p>
      <w:pPr>
        <w:pStyle w:val="12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（四）试卷题型结构</w:t>
      </w:r>
    </w:p>
    <w:p>
      <w:pPr>
        <w:adjustRightInd w:val="0"/>
        <w:snapToGrid w:val="0"/>
        <w:ind w:firstLine="420" w:firstLineChars="200"/>
        <w:rPr>
          <w:rFonts w:hint="eastAsia" w:ascii="宋体" w:hAnsi="宋体"/>
          <w:bCs/>
          <w:color w:val="auto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考试题型：</w:t>
      </w:r>
      <w:r>
        <w:rPr>
          <w:rFonts w:hint="eastAsia" w:ascii="宋体" w:hAnsi="宋体" w:cs="Arial"/>
          <w:color w:val="auto"/>
          <w:szCs w:val="21"/>
        </w:rPr>
        <w:t>名词解释、简答题、论述题、材料分析题、应用题（以上题型不一定同时出现）。</w:t>
      </w:r>
    </w:p>
    <w:p>
      <w:pPr>
        <w:spacing w:line="360" w:lineRule="auto"/>
        <w:ind w:firstLine="420"/>
        <w:rPr>
          <w:rFonts w:hint="eastAsia" w:ascii="宋体" w:hAnsi="宋体" w:cs="Arial"/>
          <w:color w:val="auto"/>
          <w:szCs w:val="21"/>
        </w:rPr>
      </w:pPr>
      <w:r>
        <w:rPr>
          <w:rFonts w:hint="eastAsia" w:ascii="宋体" w:hAnsi="宋体" w:cs="Arial"/>
          <w:color w:val="auto"/>
          <w:szCs w:val="21"/>
        </w:rPr>
        <w:t>分数比例：名词解释、简答题约70分；论述题、材料分析题约占50分；应用题约占30分。</w:t>
      </w:r>
    </w:p>
    <w:p>
      <w:pPr>
        <w:spacing w:line="360" w:lineRule="auto"/>
        <w:ind w:firstLine="420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auto"/>
          <w:szCs w:val="21"/>
        </w:rPr>
      </w:pPr>
      <w:r>
        <w:rPr>
          <w:rFonts w:hint="eastAsia" w:ascii="宋体" w:hAnsi="宋体" w:cs="Arial"/>
          <w:color w:val="auto"/>
          <w:szCs w:val="21"/>
        </w:rPr>
        <w:t>课程考试的目的在于</w:t>
      </w:r>
      <w:r>
        <w:rPr>
          <w:rFonts w:ascii="宋体" w:hAnsi="宋体" w:cs="Arial"/>
          <w:color w:val="auto"/>
          <w:szCs w:val="21"/>
        </w:rPr>
        <w:t>测试考生对</w:t>
      </w:r>
      <w:r>
        <w:rPr>
          <w:rFonts w:hint="eastAsia" w:ascii="宋体" w:hAnsi="宋体" w:cs="Arial"/>
          <w:color w:val="auto"/>
          <w:szCs w:val="21"/>
        </w:rPr>
        <w:t>于</w:t>
      </w:r>
      <w:r>
        <w:rPr>
          <w:rFonts w:ascii="宋体" w:hAnsi="宋体" w:cs="宋体"/>
          <w:color w:val="auto"/>
          <w:kern w:val="0"/>
          <w:u w:val="none" w:color="FF0000"/>
        </w:rPr>
        <w:t>传播学与新闻学</w:t>
      </w:r>
      <w:r>
        <w:rPr>
          <w:rFonts w:ascii="宋体" w:hAnsi="宋体" w:cs="Arial"/>
          <w:color w:val="auto"/>
          <w:szCs w:val="21"/>
        </w:rPr>
        <w:t>的</w:t>
      </w:r>
      <w:r>
        <w:rPr>
          <w:rFonts w:hint="eastAsia" w:ascii="宋体" w:hAnsi="宋体" w:cs="Arial"/>
          <w:color w:val="auto"/>
          <w:szCs w:val="21"/>
        </w:rPr>
        <w:t>基本概念、</w:t>
      </w:r>
      <w:r>
        <w:rPr>
          <w:rFonts w:ascii="宋体" w:hAnsi="宋体" w:cs="Arial"/>
          <w:color w:val="auto"/>
          <w:szCs w:val="21"/>
        </w:rPr>
        <w:t>基本</w:t>
      </w:r>
      <w:r>
        <w:rPr>
          <w:rFonts w:hint="eastAsia" w:ascii="宋体" w:hAnsi="宋体" w:cs="Arial"/>
          <w:color w:val="auto"/>
          <w:szCs w:val="21"/>
        </w:rPr>
        <w:t>理论、基础知识</w:t>
      </w:r>
      <w:r>
        <w:rPr>
          <w:rFonts w:ascii="宋体" w:hAnsi="宋体" w:cs="Arial"/>
          <w:color w:val="auto"/>
          <w:szCs w:val="21"/>
        </w:rPr>
        <w:t>的</w:t>
      </w:r>
      <w:r>
        <w:rPr>
          <w:rFonts w:hint="eastAsia" w:ascii="宋体" w:hAnsi="宋体" w:cs="Arial"/>
          <w:color w:val="auto"/>
          <w:szCs w:val="21"/>
        </w:rPr>
        <w:t>掌握情况以及综合运用分析和解决</w:t>
      </w:r>
      <w:r>
        <w:rPr>
          <w:rFonts w:hint="eastAsia" w:ascii="宋体" w:hAnsi="宋体" w:cs="宋体"/>
          <w:color w:val="auto"/>
          <w:kern w:val="0"/>
          <w:u w:val="none" w:color="FF0000"/>
        </w:rPr>
        <w:t>新闻传播领域</w:t>
      </w:r>
      <w:r>
        <w:rPr>
          <w:rFonts w:hint="eastAsia" w:ascii="宋体" w:hAnsi="宋体" w:cs="Arial"/>
          <w:color w:val="auto"/>
          <w:szCs w:val="21"/>
        </w:rPr>
        <w:t>现实问题的能力</w:t>
      </w:r>
      <w:r>
        <w:rPr>
          <w:rFonts w:ascii="宋体" w:hAnsi="宋体" w:cs="Arial"/>
          <w:color w:val="auto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考查范围或考试内容概要</w:t>
      </w:r>
    </w:p>
    <w:p>
      <w:pPr>
        <w:pStyle w:val="14"/>
        <w:spacing w:line="480" w:lineRule="auto"/>
        <w:ind w:firstLine="420" w:firstLineChars="200"/>
        <w:rPr>
          <w:rFonts w:ascii="宋体" w:hAnsi="宋体" w:eastAsia="宋体" w:cs="宋体"/>
          <w:b/>
          <w:color w:val="auto"/>
          <w:kern w:val="0"/>
          <w:u w:val="none" w:color="FF0000"/>
        </w:rPr>
      </w:pPr>
      <w:r>
        <w:rPr>
          <w:rFonts w:ascii="宋体" w:hAnsi="宋体" w:cs="Arial"/>
          <w:b/>
          <w:color w:val="auto"/>
        </w:rPr>
        <w:t>第</w:t>
      </w:r>
      <w:r>
        <w:rPr>
          <w:rFonts w:ascii="宋体" w:hAnsi="宋体" w:eastAsia="宋体" w:cs="Arial"/>
          <w:b/>
          <w:color w:val="auto"/>
        </w:rPr>
        <w:t>一</w:t>
      </w:r>
      <w:r>
        <w:rPr>
          <w:rFonts w:ascii="宋体" w:hAnsi="宋体" w:cs="Arial"/>
          <w:b/>
          <w:color w:val="auto"/>
        </w:rPr>
        <w:t>部分</w:t>
      </w:r>
      <w:r>
        <w:rPr>
          <w:rFonts w:ascii="宋体" w:hAnsi="宋体" w:eastAsia="宋体" w:cs="Arial"/>
          <w:b/>
          <w:color w:val="auto"/>
        </w:rPr>
        <w:t xml:space="preserve">  </w:t>
      </w:r>
      <w:r>
        <w:rPr>
          <w:rFonts w:ascii="宋体" w:hAnsi="宋体" w:eastAsia="宋体" w:cs="宋体"/>
          <w:b/>
          <w:color w:val="auto"/>
          <w:kern w:val="0"/>
          <w:u w:val="none" w:color="FF0000"/>
        </w:rPr>
        <w:t>传播学理论部分</w:t>
      </w:r>
    </w:p>
    <w:p>
      <w:pPr>
        <w:pStyle w:val="14"/>
        <w:spacing w:line="276" w:lineRule="auto"/>
        <w:ind w:left="420" w:leftChars="200"/>
        <w:rPr>
          <w:rFonts w:ascii="宋体" w:hAnsi="宋体" w:eastAsia="宋体" w:cs="宋体"/>
          <w:color w:val="auto"/>
        </w:rPr>
      </w:pPr>
      <w:r>
        <w:rPr>
          <w:rFonts w:ascii="宋体" w:hAnsi="宋体" w:eastAsia="宋体"/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传播学的对象和基本问题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2. </w:t>
      </w:r>
      <w:r>
        <w:rPr>
          <w:rFonts w:ascii="宋体" w:hAnsi="宋体" w:eastAsia="宋体" w:cs="宋体"/>
          <w:color w:val="auto"/>
        </w:rPr>
        <w:t>人类传播的历史与发展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3. </w:t>
      </w:r>
      <w:r>
        <w:rPr>
          <w:rFonts w:ascii="宋体" w:hAnsi="宋体" w:eastAsia="宋体" w:cs="宋体"/>
          <w:color w:val="auto"/>
        </w:rPr>
        <w:t>人类传播的符号和意义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4. </w:t>
      </w:r>
      <w:r>
        <w:rPr>
          <w:rFonts w:ascii="宋体" w:hAnsi="宋体" w:eastAsia="宋体" w:cs="宋体"/>
          <w:color w:val="auto"/>
        </w:rPr>
        <w:t>人类传播的过程与系统结构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5. </w:t>
      </w:r>
      <w:r>
        <w:rPr>
          <w:rFonts w:ascii="宋体" w:hAnsi="宋体" w:eastAsia="宋体" w:cs="宋体"/>
          <w:color w:val="auto"/>
        </w:rPr>
        <w:t>人内传播与人际传播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6. </w:t>
      </w:r>
      <w:r>
        <w:rPr>
          <w:rFonts w:ascii="宋体" w:hAnsi="宋体" w:eastAsia="宋体" w:cs="宋体"/>
          <w:color w:val="auto"/>
        </w:rPr>
        <w:t>群体传播、集合行为、组织传播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7. </w:t>
      </w:r>
      <w:r>
        <w:rPr>
          <w:rFonts w:ascii="宋体" w:hAnsi="宋体" w:eastAsia="宋体" w:cs="宋体"/>
          <w:color w:val="auto"/>
        </w:rPr>
        <w:t>大众传播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8. </w:t>
      </w:r>
      <w:r>
        <w:rPr>
          <w:rFonts w:ascii="宋体" w:hAnsi="宋体" w:eastAsia="宋体" w:cs="宋体"/>
          <w:color w:val="auto"/>
        </w:rPr>
        <w:t>媒介技术与媒介组织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 xml:space="preserve">9. </w:t>
      </w:r>
      <w:r>
        <w:rPr>
          <w:rFonts w:ascii="宋体" w:hAnsi="宋体" w:eastAsia="宋体" w:cs="宋体"/>
          <w:color w:val="auto"/>
        </w:rPr>
        <w:t>传播制度与媒介规范理论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10.</w:t>
      </w:r>
      <w:r>
        <w:rPr>
          <w:rFonts w:ascii="宋体" w:hAnsi="宋体" w:eastAsia="宋体" w:cs="宋体"/>
          <w:color w:val="auto"/>
        </w:rPr>
        <w:t>社会转型与受众变迁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11.</w:t>
      </w:r>
      <w:r>
        <w:rPr>
          <w:rFonts w:ascii="宋体" w:hAnsi="宋体" w:eastAsia="宋体" w:cs="宋体"/>
          <w:color w:val="auto"/>
        </w:rPr>
        <w:t>传播效果研究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12.</w:t>
      </w:r>
      <w:r>
        <w:rPr>
          <w:rFonts w:ascii="宋体" w:hAnsi="宋体" w:eastAsia="宋体" w:cs="宋体"/>
          <w:color w:val="auto"/>
        </w:rPr>
        <w:t>几种主要的大众传播效果理论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13.</w:t>
      </w:r>
      <w:r>
        <w:rPr>
          <w:rFonts w:ascii="宋体" w:hAnsi="宋体" w:eastAsia="宋体" w:cs="宋体"/>
          <w:color w:val="auto"/>
        </w:rPr>
        <w:t>国际传播与全球传播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14.</w:t>
      </w:r>
      <w:r>
        <w:rPr>
          <w:rFonts w:ascii="宋体" w:hAnsi="宋体" w:eastAsia="宋体" w:cs="宋体"/>
          <w:color w:val="auto"/>
        </w:rPr>
        <w:t>传播学研究史和主要学派</w:t>
      </w:r>
      <w:r>
        <w:rPr>
          <w:rFonts w:hint="default" w:ascii="宋体" w:hAnsi="宋体" w:eastAsia="宋体" w:cs="Arial"/>
          <w:color w:val="auto"/>
        </w:rPr>
        <w:br w:type="textWrapping"/>
      </w:r>
      <w:r>
        <w:rPr>
          <w:rFonts w:ascii="宋体" w:hAnsi="宋体" w:eastAsia="宋体"/>
          <w:color w:val="auto"/>
        </w:rPr>
        <w:t>15.</w:t>
      </w:r>
      <w:r>
        <w:rPr>
          <w:rFonts w:ascii="宋体" w:hAnsi="宋体" w:eastAsia="宋体" w:cs="宋体"/>
          <w:color w:val="auto"/>
        </w:rPr>
        <w:t>传播学调查研究方法</w:t>
      </w:r>
    </w:p>
    <w:p>
      <w:pPr>
        <w:pStyle w:val="14"/>
        <w:spacing w:line="276" w:lineRule="auto"/>
        <w:rPr>
          <w:rFonts w:ascii="宋体" w:hAnsi="宋体" w:eastAsia="宋体"/>
          <w:b/>
          <w:color w:val="auto"/>
          <w:sz w:val="24"/>
          <w:szCs w:val="24"/>
        </w:rPr>
      </w:pPr>
    </w:p>
    <w:p>
      <w:pPr>
        <w:pStyle w:val="14"/>
        <w:spacing w:line="276" w:lineRule="auto"/>
        <w:ind w:firstLine="315" w:firstLineChars="150"/>
        <w:rPr>
          <w:rFonts w:ascii="宋体" w:hAnsi="宋体" w:eastAsia="宋体" w:cs="Arial"/>
          <w:b/>
          <w:color w:val="auto"/>
        </w:rPr>
      </w:pPr>
      <w:r>
        <w:rPr>
          <w:rFonts w:ascii="宋体" w:hAnsi="宋体" w:cs="Arial"/>
          <w:b/>
          <w:color w:val="auto"/>
        </w:rPr>
        <w:t>第</w:t>
      </w:r>
      <w:r>
        <w:rPr>
          <w:rFonts w:ascii="宋体" w:hAnsi="宋体" w:eastAsia="宋体" w:cs="Arial"/>
          <w:b/>
          <w:color w:val="auto"/>
        </w:rPr>
        <w:t>二</w:t>
      </w:r>
      <w:r>
        <w:rPr>
          <w:rFonts w:ascii="宋体" w:hAnsi="宋体" w:cs="Arial"/>
          <w:b/>
          <w:color w:val="auto"/>
        </w:rPr>
        <w:t>部分</w:t>
      </w:r>
      <w:r>
        <w:rPr>
          <w:rFonts w:ascii="宋体" w:hAnsi="宋体" w:eastAsia="宋体" w:cs="Arial"/>
          <w:b/>
          <w:color w:val="auto"/>
        </w:rPr>
        <w:t xml:space="preserve"> </w:t>
      </w:r>
      <w:r>
        <w:rPr>
          <w:rFonts w:ascii="宋体" w:hAnsi="宋体" w:cs="Arial"/>
          <w:b/>
          <w:color w:val="auto"/>
        </w:rPr>
        <w:t>新闻学理论</w:t>
      </w:r>
      <w:r>
        <w:rPr>
          <w:rFonts w:ascii="宋体" w:hAnsi="宋体" w:eastAsia="宋体" w:cs="Arial"/>
          <w:b/>
          <w:color w:val="auto"/>
        </w:rPr>
        <w:t>部分</w:t>
      </w:r>
    </w:p>
    <w:p>
      <w:pPr>
        <w:pStyle w:val="14"/>
        <w:spacing w:line="276" w:lineRule="auto"/>
        <w:ind w:left="420" w:leftChars="200"/>
        <w:rPr>
          <w:rFonts w:ascii="宋体" w:hAnsi="宋体" w:eastAsia="宋体" w:cs="Arial"/>
          <w:color w:val="auto"/>
        </w:rPr>
      </w:pPr>
    </w:p>
    <w:p>
      <w:pPr>
        <w:pStyle w:val="14"/>
        <w:spacing w:line="276" w:lineRule="auto"/>
        <w:ind w:left="420" w:leftChars="200"/>
        <w:rPr>
          <w:rFonts w:hint="default"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1. 马克思主义新闻观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2. 新闻本源</w:t>
      </w:r>
      <w:r>
        <w:rPr>
          <w:rFonts w:hint="default" w:ascii="Arial" w:hAnsi="Arial" w:cs="Arial"/>
          <w:color w:val="auto"/>
        </w:rPr>
        <w:t xml:space="preserve"> 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3. 新闻真实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4. 新闻价值</w:t>
      </w:r>
      <w:r>
        <w:rPr>
          <w:rFonts w:hint="default" w:ascii="Arial" w:hAnsi="Arial" w:cs="Arial"/>
          <w:color w:val="auto"/>
        </w:rPr>
        <w:t xml:space="preserve"> 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5. 新闻媒体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6. 新闻事业</w:t>
      </w:r>
    </w:p>
    <w:p>
      <w:pPr>
        <w:pStyle w:val="14"/>
        <w:spacing w:line="276" w:lineRule="auto"/>
        <w:ind w:left="420" w:leftChars="200"/>
        <w:rPr>
          <w:rFonts w:hint="default"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7. 新闻工作的党性原则和基本方针</w:t>
      </w:r>
    </w:p>
    <w:p>
      <w:pPr>
        <w:pStyle w:val="14"/>
        <w:spacing w:line="276" w:lineRule="auto"/>
        <w:ind w:left="420" w:leftChars="200"/>
        <w:rPr>
          <w:rFonts w:hint="default" w:ascii="宋体" w:hAnsi="宋体" w:eastAsia="宋体" w:cs="宋体"/>
          <w:color w:val="auto"/>
        </w:rPr>
      </w:pPr>
      <w:r>
        <w:rPr>
          <w:rFonts w:ascii="宋体" w:hAnsi="宋体" w:eastAsia="宋体" w:cs="宋体"/>
          <w:color w:val="auto"/>
        </w:rPr>
        <w:t>8. 新闻宣传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9. 新闻舆论</w:t>
      </w:r>
      <w:r>
        <w:rPr>
          <w:rFonts w:hint="default" w:ascii="Arial" w:hAnsi="Arial" w:cs="Arial"/>
          <w:color w:val="auto"/>
        </w:rPr>
        <w:t xml:space="preserve"> 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10.新闻出版自由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11.新闻法治</w:t>
      </w:r>
    </w:p>
    <w:p>
      <w:pPr>
        <w:pStyle w:val="14"/>
        <w:spacing w:line="276" w:lineRule="auto"/>
        <w:ind w:left="420" w:leftChars="200"/>
        <w:rPr>
          <w:rFonts w:ascii="Arial" w:hAnsi="Arial" w:eastAsia="宋体" w:cs="Arial"/>
          <w:color w:val="auto"/>
        </w:rPr>
      </w:pPr>
      <w:r>
        <w:rPr>
          <w:rFonts w:ascii="宋体" w:hAnsi="宋体" w:eastAsia="宋体" w:cs="宋体"/>
          <w:color w:val="auto"/>
        </w:rPr>
        <w:t>12.新闻道德</w:t>
      </w:r>
      <w:r>
        <w:rPr>
          <w:rFonts w:hint="default" w:ascii="Arial" w:hAnsi="Arial" w:cs="Arial"/>
          <w:color w:val="auto"/>
        </w:rPr>
        <w:br w:type="textWrapping"/>
      </w:r>
      <w:r>
        <w:rPr>
          <w:rFonts w:ascii="宋体" w:hAnsi="宋体" w:eastAsia="宋体" w:cs="宋体"/>
          <w:color w:val="auto"/>
        </w:rPr>
        <w:t>13.新闻人才与队伍</w:t>
      </w:r>
    </w:p>
    <w:p>
      <w:pPr>
        <w:pStyle w:val="14"/>
        <w:spacing w:line="276" w:lineRule="auto"/>
        <w:ind w:left="420" w:leftChars="200"/>
        <w:rPr>
          <w:rFonts w:ascii="宋体" w:hAnsi="宋体" w:eastAsia="宋体"/>
          <w:b/>
          <w:color w:val="auto"/>
          <w:sz w:val="24"/>
          <w:szCs w:val="24"/>
        </w:rPr>
      </w:pPr>
    </w:p>
    <w:p>
      <w:pPr>
        <w:pStyle w:val="6"/>
        <w:spacing w:line="276" w:lineRule="auto"/>
        <w:ind w:left="420" w:leftChars="200"/>
        <w:rPr>
          <w:rFonts w:hint="eastAsia"/>
          <w:color w:val="auto"/>
        </w:rPr>
      </w:pPr>
      <w:r>
        <w:rPr>
          <w:rFonts w:hint="eastAsia"/>
          <w:b/>
          <w:color w:val="auto"/>
        </w:rPr>
        <w:t>参考教材或主要参考书</w:t>
      </w:r>
      <w:r>
        <w:rPr>
          <w:rFonts w:hint="eastAsia"/>
          <w:color w:val="auto"/>
        </w:rPr>
        <w:t>：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spacing w:val="-2"/>
        </w:rPr>
      </w:pPr>
      <w:bookmarkStart w:id="0" w:name="OLE_LINK1"/>
      <w:r>
        <w:rPr>
          <w:rFonts w:hint="eastAsia" w:ascii="宋体" w:hAnsi="宋体" w:cs="宋体"/>
          <w:color w:val="auto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auto"/>
          <w:spacing w:val="-2"/>
          <w:szCs w:val="21"/>
        </w:rPr>
        <w:t xml:space="preserve"> </w:t>
      </w:r>
      <w:r>
        <w:rPr>
          <w:rFonts w:hint="eastAsia" w:ascii="宋体" w:hAnsi="宋体" w:cs="宋体"/>
          <w:color w:val="auto"/>
          <w:spacing w:val="-2"/>
        </w:rPr>
        <w:t xml:space="preserve">1. </w:t>
      </w:r>
      <w:r>
        <w:rPr>
          <w:rFonts w:ascii="宋体" w:hAnsi="宋体"/>
          <w:color w:val="auto"/>
        </w:rPr>
        <w:t>郭庆光</w:t>
      </w:r>
      <w:r>
        <w:rPr>
          <w:rFonts w:hint="eastAsia" w:ascii="宋体" w:hAnsi="宋体"/>
          <w:color w:val="auto"/>
        </w:rPr>
        <w:t>：</w:t>
      </w:r>
      <w:r>
        <w:rPr>
          <w:rFonts w:ascii="宋体" w:hAnsi="宋体"/>
          <w:color w:val="auto"/>
        </w:rPr>
        <w:t>《传播学教程》(第2版)</w:t>
      </w:r>
      <w:r>
        <w:rPr>
          <w:rFonts w:hint="eastAsia" w:ascii="宋体" w:hAnsi="宋体"/>
          <w:color w:val="auto"/>
        </w:rPr>
        <w:t>，</w:t>
      </w:r>
      <w:r>
        <w:rPr>
          <w:rFonts w:ascii="宋体" w:hAnsi="宋体"/>
          <w:color w:val="auto"/>
        </w:rPr>
        <w:t>中国人民大学出版社出版</w:t>
      </w:r>
      <w:r>
        <w:rPr>
          <w:rFonts w:hint="eastAsia" w:ascii="宋体" w:hAnsi="宋体"/>
          <w:color w:val="auto"/>
        </w:rPr>
        <w:t>，2011</w:t>
      </w:r>
      <w:r>
        <w:rPr>
          <w:rFonts w:hint="eastAsia" w:ascii="宋体" w:hAnsi="宋体" w:cs="宋体"/>
          <w:color w:val="auto"/>
          <w:spacing w:val="-2"/>
        </w:rPr>
        <w:t>.</w:t>
      </w:r>
    </w:p>
    <w:p>
      <w:pPr>
        <w:snapToGrid w:val="0"/>
        <w:spacing w:line="360" w:lineRule="auto"/>
        <w:ind w:left="834" w:leftChars="250" w:hanging="309" w:hangingChars="150"/>
        <w:rPr>
          <w:rFonts w:hint="eastAsia" w:ascii="宋体" w:hAnsi="宋体" w:cs="宋体"/>
          <w:color w:val="auto"/>
          <w:spacing w:val="-2"/>
          <w:szCs w:val="21"/>
        </w:rPr>
      </w:pPr>
      <w:r>
        <w:rPr>
          <w:rFonts w:hint="eastAsia" w:ascii="宋体" w:hAnsi="宋体" w:cs="宋体"/>
          <w:color w:val="auto"/>
          <w:spacing w:val="-2"/>
        </w:rPr>
        <w:t>2.</w:t>
      </w:r>
      <w:r>
        <w:rPr>
          <w:rFonts w:ascii="宋体" w:hAnsi="宋体"/>
          <w:color w:val="auto"/>
        </w:rPr>
        <w:t xml:space="preserve"> </w:t>
      </w:r>
      <w:r>
        <w:rPr>
          <w:rFonts w:hint="eastAsia"/>
          <w:color w:val="auto"/>
          <w:shd w:val="clear" w:color="auto" w:fill="FFFFFF"/>
        </w:rPr>
        <w:t>明立志、高晓虹、王润泽、季为民主编</w:t>
      </w:r>
      <w:r>
        <w:rPr>
          <w:rFonts w:hint="eastAsia" w:ascii="宋体" w:hAnsi="宋体" w:cs="宋体"/>
          <w:color w:val="auto"/>
          <w:spacing w:val="-2"/>
        </w:rPr>
        <w:t>：</w:t>
      </w:r>
      <w:r>
        <w:rPr>
          <w:rFonts w:ascii="宋体" w:hAnsi="宋体" w:cs="宋体"/>
          <w:color w:val="auto"/>
          <w:spacing w:val="-2"/>
        </w:rPr>
        <w:t>《新闻学概论》</w:t>
      </w:r>
      <w:r>
        <w:rPr>
          <w:rFonts w:hint="eastAsia" w:ascii="宋体" w:hAnsi="宋体" w:cs="宋体"/>
          <w:color w:val="auto"/>
          <w:spacing w:val="-2"/>
        </w:rPr>
        <w:t>（</w:t>
      </w:r>
      <w:r>
        <w:rPr>
          <w:rFonts w:ascii="宋体" w:hAnsi="宋体" w:cs="宋体"/>
          <w:color w:val="auto"/>
          <w:spacing w:val="-2"/>
        </w:rPr>
        <w:t>第</w:t>
      </w:r>
      <w:r>
        <w:rPr>
          <w:rFonts w:hint="eastAsia" w:ascii="宋体" w:hAnsi="宋体" w:cs="宋体"/>
          <w:color w:val="auto"/>
          <w:spacing w:val="-2"/>
        </w:rPr>
        <w:t>2</w:t>
      </w:r>
      <w:r>
        <w:rPr>
          <w:rFonts w:ascii="宋体" w:hAnsi="宋体" w:cs="宋体"/>
          <w:color w:val="auto"/>
          <w:spacing w:val="-2"/>
        </w:rPr>
        <w:t>版</w:t>
      </w:r>
      <w:r>
        <w:rPr>
          <w:rFonts w:hint="eastAsia" w:ascii="宋体" w:hAnsi="宋体" w:cs="宋体"/>
          <w:color w:val="auto"/>
          <w:spacing w:val="-2"/>
        </w:rPr>
        <w:t>），高等教育</w:t>
      </w:r>
      <w:r>
        <w:rPr>
          <w:rFonts w:ascii="宋体" w:hAnsi="宋体" w:cs="宋体"/>
          <w:color w:val="auto"/>
          <w:spacing w:val="-2"/>
        </w:rPr>
        <w:t>出版社</w:t>
      </w:r>
      <w:r>
        <w:rPr>
          <w:rFonts w:hint="eastAsia" w:ascii="宋体" w:hAnsi="宋体" w:cs="宋体"/>
          <w:color w:val="auto"/>
          <w:spacing w:val="-2"/>
        </w:rPr>
        <w:t>，2</w:t>
      </w:r>
      <w:r>
        <w:rPr>
          <w:rFonts w:ascii="宋体" w:hAnsi="宋体" w:cs="宋体"/>
          <w:color w:val="auto"/>
          <w:spacing w:val="-2"/>
        </w:rPr>
        <w:t>020</w:t>
      </w:r>
      <w:r>
        <w:rPr>
          <w:rFonts w:hint="eastAsia" w:ascii="宋体" w:hAnsi="宋体" w:cs="宋体"/>
          <w:color w:val="auto"/>
          <w:spacing w:val="-2"/>
        </w:rPr>
        <w:t>年版。</w:t>
      </w:r>
    </w:p>
    <w:p>
      <w:pPr>
        <w:spacing w:line="400" w:lineRule="exact"/>
        <w:jc w:val="left"/>
        <w:rPr>
          <w:rFonts w:hint="eastAsia" w:ascii="黑体" w:eastAsia="黑体"/>
          <w:b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00EDE"/>
    <w:rsid w:val="000425D7"/>
    <w:rsid w:val="00054E01"/>
    <w:rsid w:val="00061B4F"/>
    <w:rsid w:val="000762FE"/>
    <w:rsid w:val="00080730"/>
    <w:rsid w:val="00082229"/>
    <w:rsid w:val="000843ED"/>
    <w:rsid w:val="0008607A"/>
    <w:rsid w:val="00090FD6"/>
    <w:rsid w:val="00091C80"/>
    <w:rsid w:val="00097EDA"/>
    <w:rsid w:val="000A662E"/>
    <w:rsid w:val="000A72F7"/>
    <w:rsid w:val="000C25FD"/>
    <w:rsid w:val="000C4B4A"/>
    <w:rsid w:val="000E6981"/>
    <w:rsid w:val="0011632D"/>
    <w:rsid w:val="001441A1"/>
    <w:rsid w:val="001640BE"/>
    <w:rsid w:val="00167D90"/>
    <w:rsid w:val="001848FB"/>
    <w:rsid w:val="0019067F"/>
    <w:rsid w:val="00197215"/>
    <w:rsid w:val="001A535C"/>
    <w:rsid w:val="001B1D70"/>
    <w:rsid w:val="001B3E10"/>
    <w:rsid w:val="001C165A"/>
    <w:rsid w:val="001C2F19"/>
    <w:rsid w:val="001D6B63"/>
    <w:rsid w:val="001E149A"/>
    <w:rsid w:val="001F166D"/>
    <w:rsid w:val="001F65ED"/>
    <w:rsid w:val="0020647E"/>
    <w:rsid w:val="0020731D"/>
    <w:rsid w:val="0023282D"/>
    <w:rsid w:val="0024344A"/>
    <w:rsid w:val="002625C4"/>
    <w:rsid w:val="00280F2A"/>
    <w:rsid w:val="002823CD"/>
    <w:rsid w:val="002A42A7"/>
    <w:rsid w:val="002A5C7C"/>
    <w:rsid w:val="002E0158"/>
    <w:rsid w:val="002F4E34"/>
    <w:rsid w:val="00311038"/>
    <w:rsid w:val="0033005A"/>
    <w:rsid w:val="0033096F"/>
    <w:rsid w:val="00342CC4"/>
    <w:rsid w:val="0036089B"/>
    <w:rsid w:val="003704C9"/>
    <w:rsid w:val="00375432"/>
    <w:rsid w:val="003852C3"/>
    <w:rsid w:val="0039199F"/>
    <w:rsid w:val="003A4FD9"/>
    <w:rsid w:val="003B48F8"/>
    <w:rsid w:val="003C498A"/>
    <w:rsid w:val="003E6790"/>
    <w:rsid w:val="003F22B1"/>
    <w:rsid w:val="003F30D8"/>
    <w:rsid w:val="003F5F10"/>
    <w:rsid w:val="003F61C3"/>
    <w:rsid w:val="00443036"/>
    <w:rsid w:val="004523EF"/>
    <w:rsid w:val="00477338"/>
    <w:rsid w:val="004A5171"/>
    <w:rsid w:val="004A72D7"/>
    <w:rsid w:val="004B65A5"/>
    <w:rsid w:val="004C3545"/>
    <w:rsid w:val="004D1396"/>
    <w:rsid w:val="004D42EC"/>
    <w:rsid w:val="004F1816"/>
    <w:rsid w:val="00521CC0"/>
    <w:rsid w:val="00535C1D"/>
    <w:rsid w:val="00541893"/>
    <w:rsid w:val="00561BE4"/>
    <w:rsid w:val="005743BB"/>
    <w:rsid w:val="00576CA2"/>
    <w:rsid w:val="00581E66"/>
    <w:rsid w:val="00597CBE"/>
    <w:rsid w:val="005A796B"/>
    <w:rsid w:val="005B21BB"/>
    <w:rsid w:val="005C039F"/>
    <w:rsid w:val="005D0522"/>
    <w:rsid w:val="005E2211"/>
    <w:rsid w:val="0068525B"/>
    <w:rsid w:val="00696C06"/>
    <w:rsid w:val="006A0697"/>
    <w:rsid w:val="006C1EBB"/>
    <w:rsid w:val="006C329F"/>
    <w:rsid w:val="006E0495"/>
    <w:rsid w:val="006F4562"/>
    <w:rsid w:val="006F7BB8"/>
    <w:rsid w:val="0072114F"/>
    <w:rsid w:val="00741BA4"/>
    <w:rsid w:val="00762D74"/>
    <w:rsid w:val="00786EAA"/>
    <w:rsid w:val="007963DD"/>
    <w:rsid w:val="007A218A"/>
    <w:rsid w:val="007D6FDB"/>
    <w:rsid w:val="007E298C"/>
    <w:rsid w:val="007E29A7"/>
    <w:rsid w:val="007F4C05"/>
    <w:rsid w:val="00830FF2"/>
    <w:rsid w:val="00864E9F"/>
    <w:rsid w:val="0087510B"/>
    <w:rsid w:val="00890795"/>
    <w:rsid w:val="008921C1"/>
    <w:rsid w:val="00893B85"/>
    <w:rsid w:val="008A0998"/>
    <w:rsid w:val="008A1AA2"/>
    <w:rsid w:val="008A1F16"/>
    <w:rsid w:val="008A6ED1"/>
    <w:rsid w:val="008D2BAA"/>
    <w:rsid w:val="00967D08"/>
    <w:rsid w:val="00971C90"/>
    <w:rsid w:val="00986ECB"/>
    <w:rsid w:val="00991A5E"/>
    <w:rsid w:val="009A6931"/>
    <w:rsid w:val="009A744B"/>
    <w:rsid w:val="00A26EEB"/>
    <w:rsid w:val="00A41FA5"/>
    <w:rsid w:val="00A52C0D"/>
    <w:rsid w:val="00A605E9"/>
    <w:rsid w:val="00A620E4"/>
    <w:rsid w:val="00A63AC6"/>
    <w:rsid w:val="00A8099C"/>
    <w:rsid w:val="00AA1CBA"/>
    <w:rsid w:val="00AB2D7C"/>
    <w:rsid w:val="00AC0983"/>
    <w:rsid w:val="00AD73EE"/>
    <w:rsid w:val="00AE2EA1"/>
    <w:rsid w:val="00B10A84"/>
    <w:rsid w:val="00B53FB4"/>
    <w:rsid w:val="00B54A9F"/>
    <w:rsid w:val="00B83F38"/>
    <w:rsid w:val="00B84AB9"/>
    <w:rsid w:val="00B87A1D"/>
    <w:rsid w:val="00B90B26"/>
    <w:rsid w:val="00BB42AE"/>
    <w:rsid w:val="00BE2F94"/>
    <w:rsid w:val="00C150C9"/>
    <w:rsid w:val="00C176BC"/>
    <w:rsid w:val="00C20A7E"/>
    <w:rsid w:val="00C404D4"/>
    <w:rsid w:val="00C5668E"/>
    <w:rsid w:val="00C65797"/>
    <w:rsid w:val="00C7337E"/>
    <w:rsid w:val="00C76400"/>
    <w:rsid w:val="00C943FD"/>
    <w:rsid w:val="00CB135C"/>
    <w:rsid w:val="00CB4AC0"/>
    <w:rsid w:val="00CD2310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C2A45"/>
    <w:rsid w:val="00DD7E22"/>
    <w:rsid w:val="00DE2F8D"/>
    <w:rsid w:val="00E1145D"/>
    <w:rsid w:val="00E31480"/>
    <w:rsid w:val="00E40446"/>
    <w:rsid w:val="00E51D5C"/>
    <w:rsid w:val="00E65096"/>
    <w:rsid w:val="00E6651A"/>
    <w:rsid w:val="00E8034E"/>
    <w:rsid w:val="00E81B5D"/>
    <w:rsid w:val="00EC6FF8"/>
    <w:rsid w:val="00EE3A0D"/>
    <w:rsid w:val="00EE6E6E"/>
    <w:rsid w:val="00EE780F"/>
    <w:rsid w:val="00EF1CE7"/>
    <w:rsid w:val="00F0332A"/>
    <w:rsid w:val="00F15537"/>
    <w:rsid w:val="00F26E36"/>
    <w:rsid w:val="00F27522"/>
    <w:rsid w:val="00F37904"/>
    <w:rsid w:val="00F403BC"/>
    <w:rsid w:val="00F410D0"/>
    <w:rsid w:val="00F66A46"/>
    <w:rsid w:val="00F70D0A"/>
    <w:rsid w:val="00F9484E"/>
    <w:rsid w:val="00FE5C11"/>
    <w:rsid w:val="00FE73E9"/>
    <w:rsid w:val="081D6CD9"/>
    <w:rsid w:val="0E3513AA"/>
    <w:rsid w:val="158345B9"/>
    <w:rsid w:val="2209174A"/>
    <w:rsid w:val="27DF24C3"/>
    <w:rsid w:val="2BA31F0C"/>
    <w:rsid w:val="2E5C00AA"/>
    <w:rsid w:val="39054CF9"/>
    <w:rsid w:val="3C954236"/>
    <w:rsid w:val="40086DC4"/>
    <w:rsid w:val="40C9363E"/>
    <w:rsid w:val="43E96A5E"/>
    <w:rsid w:val="491E1569"/>
    <w:rsid w:val="4E0A3C16"/>
    <w:rsid w:val="4F6E46F9"/>
    <w:rsid w:val="52BB2CAF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标题 3 Char"/>
    <w:link w:val="3"/>
    <w:semiHidden/>
    <w:uiPriority w:val="0"/>
    <w:rPr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_Style 1"/>
    <w:basedOn w:val="1"/>
    <w:qFormat/>
    <w:uiPriority w:val="0"/>
    <w:pPr>
      <w:ind w:firstLine="420" w:firstLineChars="200"/>
    </w:pPr>
  </w:style>
  <w:style w:type="paragraph" w:customStyle="1" w:styleId="14">
    <w:name w:val="正文 A"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2017-06-11T23:24:00Z</dcterms:created>
  <dc:creator>jh</dc:creator>
  <cp:lastModifiedBy>vertesyuan</cp:lastModifiedBy>
  <cp:lastPrinted>2018-06-25T01:47:00Z</cp:lastPrinted>
  <dcterms:modified xsi:type="dcterms:W3CDTF">2023-12-05T05:06:03Z</dcterms:modified>
  <dc:title>浙江师范大学2009年硕士研究生入学考试复试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A77606CEA7A044A688304AF6FEA21F95_13</vt:lpwstr>
  </property>
</Properties>
</file>