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jc w:val="both"/>
        <w:rPr>
          <w:rFonts w:hint="eastAsia" w:ascii="Times New Roman" w:hAnsi="Times New Roman"/>
          <w:b/>
          <w:bCs w:val="0"/>
        </w:rPr>
      </w:pPr>
      <w:bookmarkStart w:id="1" w:name="_GoBack"/>
      <w:bookmarkEnd w:id="1"/>
      <w:bookmarkStart w:id="0" w:name="_Toc496709964"/>
      <w:r>
        <w:rPr>
          <w:rFonts w:hint="eastAsia" w:ascii="Times New Roman" w:hAnsi="Times New Roman"/>
          <w:b/>
          <w:bCs w:val="0"/>
        </w:rPr>
        <w:t>附件1</w:t>
      </w:r>
    </w:p>
    <w:p>
      <w:pPr>
        <w:pStyle w:val="2"/>
        <w:spacing w:after="156" w:afterLines="50"/>
        <w:rPr>
          <w:rFonts w:hint="eastAsia" w:ascii="Times New Roman" w:hAnsi="Times New Roman"/>
          <w:b/>
          <w:bCs w:val="0"/>
        </w:rPr>
      </w:pPr>
      <w:r>
        <w:rPr>
          <w:rFonts w:hint="eastAsia" w:ascii="Times New Roman" w:hAnsi="Times New Roman"/>
          <w:b/>
          <w:bCs w:val="0"/>
        </w:rPr>
        <w:t>湖南大学</w:t>
      </w:r>
      <w:r>
        <w:rPr>
          <w:rFonts w:hint="eastAsia" w:ascii="Times New Roman" w:hAnsi="Times New Roman"/>
          <w:b/>
          <w:bCs w:val="0"/>
          <w:u w:val="single"/>
        </w:rPr>
        <w:t xml:space="preserve">  数学  </w:t>
      </w:r>
      <w:r>
        <w:rPr>
          <w:rFonts w:hint="eastAsia" w:ascii="Times New Roman" w:hAnsi="Times New Roman"/>
          <w:b/>
          <w:bCs w:val="0"/>
        </w:rPr>
        <w:t>学院202</w:t>
      </w:r>
      <w:r>
        <w:rPr>
          <w:rFonts w:hint="eastAsia" w:ascii="Times New Roman" w:hAnsi="Times New Roman"/>
          <w:b/>
          <w:bCs w:val="0"/>
          <w:lang w:val="en-US" w:eastAsia="zh-CN"/>
        </w:rPr>
        <w:t>3</w:t>
      </w:r>
      <w:r>
        <w:rPr>
          <w:rFonts w:hint="eastAsia" w:ascii="Times New Roman" w:hAnsi="Times New Roman"/>
          <w:b/>
          <w:bCs w:val="0"/>
        </w:rPr>
        <w:t>年硕士研究生招生专业目录</w:t>
      </w:r>
      <w:bookmarkEnd w:id="0"/>
    </w:p>
    <w:p>
      <w:pPr>
        <w:rPr>
          <w:rFonts w:hint="eastAsia" w:ascii="Times New Roman" w:hAnsi="Times New Roman"/>
          <w:bCs/>
        </w:rPr>
      </w:pPr>
      <w:r>
        <w:rPr>
          <w:rFonts w:hint="eastAsia" w:ascii="Times New Roman" w:hAnsi="Times New Roman"/>
          <w:bCs/>
        </w:rPr>
        <w:t>一、学院及招生学科专业简介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  <w:lang w:eastAsia="zh-Hans"/>
        </w:rPr>
        <w:t>湖南大学数学学院</w:t>
      </w:r>
      <w:r>
        <w:rPr>
          <w:rFonts w:hint="eastAsia"/>
          <w:color w:val="000000"/>
        </w:rPr>
        <w:t>于1981年获得应用数学硕士学位授予权，1984年获得应用数学博士学位授予权，2010年获得数学一级学科博士学位授予权</w:t>
      </w:r>
      <w:r>
        <w:rPr>
          <w:color w:val="000000"/>
        </w:rPr>
        <w:t>。</w:t>
      </w:r>
      <w:r>
        <w:rPr>
          <w:rFonts w:hint="eastAsia"/>
          <w:color w:val="000000"/>
          <w:lang w:eastAsia="zh-Hans"/>
        </w:rPr>
        <w:t>学院</w:t>
      </w:r>
      <w:r>
        <w:rPr>
          <w:rFonts w:hint="eastAsia"/>
          <w:color w:val="000000"/>
        </w:rPr>
        <w:t>为适应新时期经济社会发展对高层次人才的需求，着力培养基础扎实、视野开阔、德才兼备、身心健康，具有良好人文素养、科学精神和创新能力的数学方面的高层次专门人才</w:t>
      </w:r>
      <w:r>
        <w:rPr>
          <w:color w:val="000000"/>
        </w:rPr>
        <w:t>。</w:t>
      </w:r>
      <w:r>
        <w:rPr>
          <w:rFonts w:hint="eastAsia"/>
          <w:color w:val="000000"/>
          <w:lang w:eastAsia="zh-Hans"/>
        </w:rPr>
        <w:t>全日制学术学位型硕士主要研究方向涉及</w:t>
      </w:r>
      <w:r>
        <w:rPr>
          <w:rFonts w:hint="eastAsia"/>
          <w:color w:val="000000"/>
        </w:rPr>
        <w:t>偏微分方程、微分几何与复几何、代数</w:t>
      </w:r>
      <w:r>
        <w:rPr>
          <w:rFonts w:hint="eastAsia"/>
          <w:color w:val="000000"/>
          <w:lang w:eastAsia="zh-Hans"/>
        </w:rPr>
        <w:t>几何</w:t>
      </w:r>
      <w:r>
        <w:rPr>
          <w:rFonts w:hint="eastAsia"/>
          <w:color w:val="000000"/>
        </w:rPr>
        <w:t>、数论、格上拓扑学、算子理论、组合数学与图论、微分方程与动力系统、最优化</w:t>
      </w:r>
      <w:r>
        <w:rPr>
          <w:rFonts w:hint="eastAsia"/>
          <w:color w:val="000000"/>
          <w:lang w:eastAsia="zh-Hans"/>
        </w:rPr>
        <w:t>理论</w:t>
      </w:r>
      <w:r>
        <w:rPr>
          <w:rFonts w:hint="eastAsia"/>
          <w:color w:val="000000"/>
        </w:rPr>
        <w:t>、科学与工程计算、数值代数、数据科学、随机过程</w:t>
      </w:r>
      <w:r>
        <w:rPr>
          <w:rFonts w:hint="eastAsia"/>
          <w:color w:val="000000"/>
          <w:lang w:eastAsia="zh-Hans"/>
        </w:rPr>
        <w:t>等</w:t>
      </w:r>
      <w:r>
        <w:rPr>
          <w:color w:val="000000"/>
          <w:lang w:eastAsia="zh-Hans"/>
        </w:rPr>
        <w:t>，</w:t>
      </w:r>
      <w:r>
        <w:rPr>
          <w:rFonts w:hint="eastAsia"/>
          <w:color w:val="000000"/>
        </w:rPr>
        <w:t>全日制学术学位硕士研究生基本学制为3年</w:t>
      </w:r>
      <w:r>
        <w:rPr>
          <w:color w:val="000000"/>
        </w:rPr>
        <w:t>，</w:t>
      </w:r>
      <w:r>
        <w:rPr>
          <w:rFonts w:hint="eastAsia"/>
          <w:color w:val="000000"/>
        </w:rPr>
        <w:t>最长学习年限（含创业、休学和保留学籍）为5年</w:t>
      </w:r>
      <w:r>
        <w:rPr>
          <w:color w:val="000000"/>
        </w:rPr>
        <w:t>。</w:t>
      </w:r>
      <w:r>
        <w:rPr>
          <w:rFonts w:hint="eastAsia"/>
          <w:color w:val="000000"/>
          <w:lang w:eastAsia="zh-Hans"/>
        </w:rPr>
        <w:t>非全日制专业学位主要为教育硕士学科教学</w:t>
      </w:r>
      <w:r>
        <w:rPr>
          <w:color w:val="000000"/>
          <w:lang w:eastAsia="zh-Hans"/>
        </w:rPr>
        <w:t>（</w:t>
      </w:r>
      <w:r>
        <w:rPr>
          <w:rFonts w:hint="eastAsia"/>
          <w:color w:val="000000"/>
          <w:lang w:eastAsia="zh-Hans"/>
        </w:rPr>
        <w:t>数学</w:t>
      </w:r>
      <w:r>
        <w:rPr>
          <w:color w:val="000000"/>
          <w:lang w:eastAsia="zh-Hans"/>
        </w:rPr>
        <w:t>）</w:t>
      </w:r>
      <w:r>
        <w:rPr>
          <w:rFonts w:hint="eastAsia"/>
          <w:color w:val="000000"/>
          <w:lang w:eastAsia="zh-Hans"/>
        </w:rPr>
        <w:t>方向</w:t>
      </w:r>
      <w:r>
        <w:rPr>
          <w:color w:val="000000"/>
          <w:lang w:eastAsia="zh-Hans"/>
        </w:rPr>
        <w:t>。</w:t>
      </w:r>
      <w:r>
        <w:rPr>
          <w:rFonts w:hint="eastAsia"/>
          <w:color w:val="000000"/>
          <w:lang w:eastAsia="zh-Hans"/>
        </w:rPr>
        <w:t>学院</w:t>
      </w:r>
      <w:r>
        <w:rPr>
          <w:rFonts w:hint="eastAsia"/>
          <w:color w:val="000000"/>
        </w:rPr>
        <w:t>全面贯彻党的教育方针，落实立德树人根本任务，面向基础教育和中等职业教育，培养具有现代教育理念、扎实专业水平和较强实践能力的教育管理人员和学科骨干教师</w:t>
      </w:r>
      <w:r>
        <w:rPr>
          <w:color w:val="000000"/>
        </w:rPr>
        <w:t>，</w:t>
      </w:r>
      <w:r>
        <w:rPr>
          <w:rFonts w:hint="eastAsia"/>
          <w:color w:val="000000"/>
        </w:rPr>
        <w:t>全日制教育硕士基本学制为2年，非全日制教育硕士基本学制均为3年</w:t>
      </w:r>
      <w:r>
        <w:rPr>
          <w:color w:val="000000"/>
        </w:rPr>
        <w:t>，</w:t>
      </w:r>
      <w:r>
        <w:rPr>
          <w:rFonts w:hint="eastAsia"/>
          <w:color w:val="000000"/>
        </w:rPr>
        <w:t>最长学习年限（含创业、休学和保留学籍）为5年</w:t>
      </w:r>
      <w:r>
        <w:rPr>
          <w:color w:val="000000"/>
        </w:rPr>
        <w:t>。</w:t>
      </w:r>
    </w:p>
    <w:p>
      <w:pPr>
        <w:rPr>
          <w:rFonts w:hint="eastAsia" w:ascii="Times New Roman" w:hAnsi="Times New Roman"/>
          <w:bCs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Cs/>
        </w:rPr>
        <w:t>二、招生专业目录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76"/>
        <w:gridCol w:w="3370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2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61" w:hanging="361" w:hangingChars="200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学科专业代码、名称</w:t>
            </w:r>
          </w:p>
          <w:p>
            <w:pPr>
              <w:spacing w:line="280" w:lineRule="exact"/>
              <w:ind w:left="361" w:hanging="361" w:hangingChars="200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及研究方向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学习方式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及招生人数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考试科目代码及名称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284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070100</w:t>
            </w:r>
            <w:r>
              <w:rPr>
                <w:rFonts w:hint="eastAsia" w:ascii="黑体" w:eastAsia="黑体"/>
                <w:b/>
                <w:szCs w:val="21"/>
              </w:rPr>
              <w:t>数学</w:t>
            </w:r>
          </w:p>
          <w:p>
            <w:pPr>
              <w:jc w:val="both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01 基础数学</w:t>
            </w:r>
          </w:p>
          <w:p>
            <w:pPr>
              <w:jc w:val="both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02 计算数学</w:t>
            </w:r>
          </w:p>
          <w:p>
            <w:pPr>
              <w:jc w:val="both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03 概率论与数理统计</w:t>
            </w:r>
          </w:p>
          <w:p>
            <w:pPr>
              <w:jc w:val="both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04 应用数学</w:t>
            </w: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05 运筹学与控制论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000000"/>
              </w:rPr>
            </w:pPr>
          </w:p>
          <w:p>
            <w:pPr>
              <w:spacing w:before="93" w:beforeLines="30" w:after="93" w:afterLines="30" w:line="280" w:lineRule="exact"/>
              <w:ind w:left="420" w:hanging="422" w:hangingChars="200"/>
              <w:jc w:val="both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lang w:val="en-US" w:eastAsia="zh-CN"/>
              </w:rPr>
              <w:t>21</w:t>
            </w:r>
            <w:r>
              <w:rPr>
                <w:rFonts w:hint="eastAsia" w:ascii="仿宋_GB2312" w:eastAsia="仿宋_GB2312" w:cs="Times New Roman"/>
              </w:rPr>
              <w:t>人</w:t>
            </w:r>
          </w:p>
        </w:tc>
        <w:tc>
          <w:tcPr>
            <w:tcW w:w="337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begin"/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separate"/>
            </w:r>
            <w:r>
              <w:rPr>
                <w:rFonts w:hint="eastAsia" w:ascii="仿宋_GB2312" w:eastAsia="仿宋_GB2312" w:cs="Times New Roman"/>
                <w:bCs/>
                <w:szCs w:val="21"/>
                <w:lang/>
              </w:rPr>
              <w:t>①</w:t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end"/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t>101思想政治理论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②201英语一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③610数学分析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④813高等代数</w:t>
            </w:r>
          </w:p>
          <w:p>
            <w:pPr>
              <w:jc w:val="both"/>
              <w:rPr>
                <w:rFonts w:hint="eastAsia" w:ascii="仿宋_GB2312" w:eastAsia="仿宋_GB2312" w:cs="Times New Roman"/>
                <w:b/>
                <w:bCs w:val="0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 w:val="0"/>
                <w:szCs w:val="21"/>
              </w:rPr>
              <w:t>复试专业课</w:t>
            </w:r>
          </w:p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F0601专业综合（含复变函数、常微分方程、概率论与数理统计、计算方法</w:t>
            </w:r>
            <w:r>
              <w:rPr>
                <w:rFonts w:hint="eastAsia" w:ascii="仿宋_GB2312" w:eastAsia="仿宋_GB2312" w:cs="Times New Roman"/>
                <w:bCs/>
                <w:szCs w:val="21"/>
                <w:lang w:eastAsia="zh-Hans"/>
              </w:rPr>
              <w:t>）</w:t>
            </w:r>
          </w:p>
        </w:tc>
        <w:tc>
          <w:tcPr>
            <w:tcW w:w="10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7" w:type="dxa"/>
            <w:noWrap w:val="0"/>
            <w:vAlign w:val="top"/>
          </w:tcPr>
          <w:p>
            <w:pPr>
              <w:spacing w:line="250" w:lineRule="exact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Times New Roman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pacing w:line="25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2847" w:type="dxa"/>
            <w:noWrap w:val="0"/>
            <w:vAlign w:val="top"/>
          </w:tcPr>
          <w:p>
            <w:pPr>
              <w:jc w:val="both"/>
              <w:rPr>
                <w:rFonts w:ascii="黑体" w:eastAsia="黑体" w:cs="Times New Roman"/>
                <w:b/>
                <w:szCs w:val="21"/>
              </w:rPr>
            </w:pPr>
            <w:r>
              <w:rPr>
                <w:rFonts w:hint="eastAsia" w:ascii="黑体" w:eastAsia="黑体" w:cs="Times New Roman"/>
                <w:b/>
                <w:szCs w:val="21"/>
              </w:rPr>
              <w:t>04510</w:t>
            </w:r>
            <w:r>
              <w:rPr>
                <w:rFonts w:hint="eastAsia" w:ascii="黑体" w:eastAsia="黑体" w:cs="Times New Roman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黑体" w:eastAsia="黑体" w:cs="Times New Roman"/>
                <w:b/>
                <w:szCs w:val="21"/>
              </w:rPr>
              <w:t>学科教学（数学）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01学科教学（数学）</w:t>
            </w:r>
          </w:p>
          <w:p>
            <w:pPr>
              <w:spacing w:line="250" w:lineRule="exact"/>
              <w:ind w:left="360" w:hanging="360" w:hangingChars="20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非全日制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lang w:val="en-US" w:eastAsia="zh-CN"/>
              </w:rPr>
              <w:t>60</w:t>
            </w:r>
            <w:r>
              <w:rPr>
                <w:rFonts w:hint="eastAsia" w:ascii="仿宋_GB2312" w:eastAsia="仿宋_GB2312" w:cs="Times New Roman"/>
              </w:rPr>
              <w:t>人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begin"/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separate"/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t>①</w:t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fldChar w:fldCharType="end"/>
            </w:r>
            <w:r>
              <w:rPr>
                <w:rFonts w:hint="eastAsia" w:ascii="仿宋_GB2312" w:eastAsia="仿宋_GB2312" w:cs="Times New Roman"/>
                <w:bCs/>
                <w:szCs w:val="21"/>
              </w:rPr>
              <w:t>101思想政治理论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②204英语二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③333教育综合</w:t>
            </w:r>
          </w:p>
          <w:p>
            <w:pPr>
              <w:jc w:val="both"/>
              <w:rPr>
                <w:rFonts w:hint="eastAsia" w:ascii="仿宋_GB2312" w:eastAsia="仿宋_GB2312" w:cs="Times New Roman"/>
                <w:bCs/>
                <w:szCs w:val="21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④859数学教学论</w:t>
            </w:r>
          </w:p>
          <w:p>
            <w:pPr>
              <w:jc w:val="both"/>
              <w:rPr>
                <w:rFonts w:hint="eastAsia" w:ascii="仿宋_GB2312" w:eastAsia="仿宋_GB2312" w:cs="Times New Roman"/>
                <w:b/>
                <w:bCs w:val="0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 w:val="0"/>
                <w:szCs w:val="21"/>
              </w:rPr>
              <w:t>复试专业课</w:t>
            </w:r>
          </w:p>
          <w:p>
            <w:pPr>
              <w:jc w:val="both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bCs/>
                <w:szCs w:val="21"/>
              </w:rPr>
              <w:t>F0602数学专业基础（含数学分析、线性代数）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line="25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 xml:space="preserve">备注：1.专业代码第 3 位为“5”或“6”的专业为专业学位；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 xml:space="preserve">2.此目录中公布的招生人数为考试招生人数，不含推免生人数。考试招生数将会根据 </w:t>
      </w:r>
    </w:p>
    <w:p>
      <w:pPr>
        <w:ind w:firstLine="420" w:firstLineChars="200"/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教育部正式下达招生计划和实际录取的推免生人数产生变动。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ZjllOWMyOTc2NWVmYzllNGY0YWNhM2VjMzhmYjYifQ=="/>
  </w:docVars>
  <w:rsids>
    <w:rsidRoot w:val="007E23E4"/>
    <w:rsid w:val="00164B39"/>
    <w:rsid w:val="001C1B86"/>
    <w:rsid w:val="0026269B"/>
    <w:rsid w:val="005F35DF"/>
    <w:rsid w:val="007E23E4"/>
    <w:rsid w:val="0085262B"/>
    <w:rsid w:val="00A27839"/>
    <w:rsid w:val="00A700C8"/>
    <w:rsid w:val="078533FE"/>
    <w:rsid w:val="079717B0"/>
    <w:rsid w:val="227F4A5D"/>
    <w:rsid w:val="27F552B7"/>
    <w:rsid w:val="2A1438EE"/>
    <w:rsid w:val="37FF86CD"/>
    <w:rsid w:val="3FDC2B0A"/>
    <w:rsid w:val="40090DFE"/>
    <w:rsid w:val="51740621"/>
    <w:rsid w:val="52CE5C1B"/>
    <w:rsid w:val="5FF335B2"/>
    <w:rsid w:val="6DCC1A05"/>
    <w:rsid w:val="7CD66179"/>
    <w:rsid w:val="B6FF8CA1"/>
    <w:rsid w:val="C9F7355A"/>
    <w:rsid w:val="F1BF57D9"/>
    <w:rsid w:val="FDDF707C"/>
    <w:rsid w:val="FDFFAF99"/>
    <w:rsid w:val="FFED5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787</Words>
  <Characters>843</Characters>
  <Lines>6</Lines>
  <Paragraphs>1</Paragraphs>
  <TotalTime>2</TotalTime>
  <ScaleCrop>false</ScaleCrop>
  <LinksUpToDate>false</LinksUpToDate>
  <CharactersWithSpaces>856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vertesyuan</cp:lastModifiedBy>
  <dcterms:modified xsi:type="dcterms:W3CDTF">2022-10-13T07:55:43Z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1AD225F501244CDBA4D3EEB9803170FF</vt:lpwstr>
  </property>
</Properties>
</file>