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line="360" w:lineRule="auto"/>
        <w:jc w:val="center"/>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lang w:val="en-US" w:eastAsia="zh-CN"/>
        </w:rPr>
        <w:t>湖南农业大学</w:t>
      </w:r>
      <w:r>
        <w:rPr>
          <w:rFonts w:hint="eastAsia" w:ascii="黑体" w:hAnsi="黑体" w:eastAsia="黑体" w:cs="黑体"/>
          <w:b w:val="0"/>
          <w:bCs/>
          <w:color w:val="000000"/>
          <w:sz w:val="36"/>
          <w:szCs w:val="36"/>
        </w:rPr>
        <w:t>202</w:t>
      </w:r>
      <w:r>
        <w:rPr>
          <w:rFonts w:hint="eastAsia" w:ascii="黑体" w:hAnsi="黑体" w:eastAsia="黑体" w:cs="黑体"/>
          <w:b w:val="0"/>
          <w:bCs/>
          <w:color w:val="000000"/>
          <w:sz w:val="36"/>
          <w:szCs w:val="36"/>
          <w:lang w:val="en-US" w:eastAsia="zh-CN"/>
        </w:rPr>
        <w:t>3</w:t>
      </w:r>
      <w:r>
        <w:rPr>
          <w:rFonts w:hint="eastAsia" w:ascii="黑体" w:hAnsi="黑体" w:eastAsia="黑体" w:cs="黑体"/>
          <w:b w:val="0"/>
          <w:bCs/>
          <w:color w:val="000000"/>
          <w:sz w:val="36"/>
          <w:szCs w:val="36"/>
        </w:rPr>
        <w:t>年硕士研究生招生考试</w:t>
      </w:r>
    </w:p>
    <w:p>
      <w:pPr>
        <w:spacing w:before="240" w:beforeLines="100" w:after="240" w:afterLines="100" w:line="360" w:lineRule="auto"/>
        <w:jc w:val="center"/>
        <w:rPr>
          <w:rFonts w:hint="eastAsia" w:ascii="黑体" w:hAnsi="黑体" w:eastAsia="黑体" w:cs="黑体"/>
          <w:b w:val="0"/>
          <w:bCs/>
          <w:color w:val="000000"/>
          <w:sz w:val="36"/>
          <w:szCs w:val="36"/>
        </w:rPr>
      </w:pPr>
      <w:r>
        <w:rPr>
          <w:rFonts w:hint="eastAsia" w:ascii="黑体" w:hAnsi="黑体" w:eastAsia="黑体" w:cs="黑体"/>
          <w:b w:val="0"/>
          <w:bCs/>
          <w:sz w:val="36"/>
          <w:szCs w:val="36"/>
          <w:lang w:eastAsia="zh-CN"/>
        </w:rPr>
        <w:t>《</w:t>
      </w:r>
      <w:r>
        <w:rPr>
          <w:rFonts w:hint="eastAsia" w:ascii="黑体" w:hAnsi="黑体" w:eastAsia="黑体" w:cs="黑体"/>
          <w:b w:val="0"/>
          <w:bCs/>
          <w:sz w:val="36"/>
          <w:szCs w:val="36"/>
        </w:rPr>
        <w:t>农</w:t>
      </w:r>
      <w:bookmarkStart w:id="0" w:name="_GoBack"/>
      <w:bookmarkEnd w:id="0"/>
      <w:r>
        <w:rPr>
          <w:rFonts w:hint="eastAsia" w:ascii="黑体" w:hAnsi="黑体" w:eastAsia="黑体" w:cs="黑体"/>
          <w:b w:val="0"/>
          <w:bCs/>
          <w:sz w:val="36"/>
          <w:szCs w:val="36"/>
        </w:rPr>
        <w:t>业政策学</w:t>
      </w:r>
      <w:r>
        <w:rPr>
          <w:rFonts w:hint="eastAsia" w:ascii="黑体" w:hAnsi="黑体" w:eastAsia="黑体" w:cs="黑体"/>
          <w:b w:val="0"/>
          <w:bCs/>
          <w:sz w:val="36"/>
          <w:szCs w:val="36"/>
          <w:lang w:eastAsia="zh-CN"/>
        </w:rPr>
        <w:t>》</w:t>
      </w:r>
      <w:r>
        <w:rPr>
          <w:rFonts w:hint="eastAsia" w:ascii="黑体" w:hAnsi="黑体" w:eastAsia="黑体" w:cs="黑体"/>
          <w:b w:val="0"/>
          <w:bCs/>
          <w:color w:val="000000"/>
          <w:sz w:val="36"/>
          <w:szCs w:val="36"/>
        </w:rPr>
        <w:t>考试大纲</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Ⅰ．考试性质</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农业知识综合四是为招收农业硕士研究生（农业管理）而设置的具有选拔功能的水平考试。它的主要目的是测试考生对《管理学原理》、《农业政策学》、《农村社会学》内容的掌握程度和应用相关知识分析问题的能力。要求考生理解和掌握相关课程基础知识和基本理论，能够运用基本原理和方法分析、判断和解决有关实际问题。它的评价标准是高等学校优秀本科毕业生能达到及格或及格以上水平，以保证被录取者具有基本的农业管理理论知识并有利于招生学校在专业上择优选拨。</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bCs/>
          <w:color w:val="000000" w:themeColor="text1"/>
          <w:sz w:val="24"/>
          <w:szCs w:val="24"/>
        </w:rPr>
      </w:pP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Ⅱ．考查目标</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农业知识综合四考试涵盖管理学原理、农业政策学、农村社会学等课程。要求考生：</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1．准确地再认或再现学科的有关知识。</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2．准确、恰当地使用本学科的专业术语，正确理解和掌握学科的有关范畴、规律和论断。</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3．运用有关原理，解释和论证某种观点，辨明理论是非。</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4．运用相关理论知识比较和分析有关社会现象或实际问题。</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bCs/>
          <w:color w:val="000000" w:themeColor="text1"/>
          <w:sz w:val="24"/>
          <w:szCs w:val="24"/>
        </w:rPr>
      </w:pP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bCs/>
          <w:color w:val="000000" w:themeColor="text1"/>
          <w:sz w:val="24"/>
          <w:szCs w:val="24"/>
        </w:rPr>
      </w:pPr>
      <w:r>
        <w:rPr>
          <w:rFonts w:hint="eastAsia" w:ascii="仿宋" w:hAnsi="仿宋" w:eastAsia="仿宋" w:cs="仿宋"/>
          <w:b/>
          <w:bCs/>
          <w:color w:val="000000" w:themeColor="text1"/>
          <w:sz w:val="24"/>
          <w:szCs w:val="24"/>
        </w:rPr>
        <w:t>Ⅲ．考试形式和试卷结构</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　　</w:t>
      </w:r>
      <w:r>
        <w:rPr>
          <w:rFonts w:hint="eastAsia" w:ascii="仿宋" w:hAnsi="仿宋" w:eastAsia="仿宋" w:cs="仿宋"/>
          <w:b/>
          <w:color w:val="000000" w:themeColor="text1"/>
          <w:sz w:val="24"/>
          <w:szCs w:val="24"/>
        </w:rPr>
        <w:t>一、试卷满分及考试时间</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本试卷满分为150分，考试时间为180分钟。</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　　</w:t>
      </w:r>
      <w:r>
        <w:rPr>
          <w:rFonts w:hint="eastAsia" w:ascii="仿宋" w:hAnsi="仿宋" w:eastAsia="仿宋" w:cs="仿宋"/>
          <w:b/>
          <w:color w:val="000000" w:themeColor="text1"/>
          <w:sz w:val="24"/>
          <w:szCs w:val="24"/>
        </w:rPr>
        <w:t>二、答题方式</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答题方式为闭卷、笔试。</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　　</w:t>
      </w:r>
      <w:r>
        <w:rPr>
          <w:rFonts w:hint="eastAsia" w:ascii="仿宋" w:hAnsi="仿宋" w:eastAsia="仿宋" w:cs="仿宋"/>
          <w:b/>
          <w:color w:val="000000" w:themeColor="text1"/>
          <w:sz w:val="24"/>
          <w:szCs w:val="24"/>
        </w:rPr>
        <w:t>三、试卷内容结构</w:t>
      </w:r>
    </w:p>
    <w:p>
      <w:pPr>
        <w:keepNext w:val="0"/>
        <w:keepLines w:val="0"/>
        <w:pageBreakBefore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《管理学原理》、《农业政策学》、《农村社会学》等各占三分之一，每门50分。</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color w:val="000000" w:themeColor="text1"/>
          <w:sz w:val="24"/>
          <w:szCs w:val="24"/>
        </w:rPr>
      </w:pPr>
      <w:r>
        <w:rPr>
          <w:rFonts w:hint="eastAsia" w:ascii="仿宋" w:hAnsi="仿宋" w:eastAsia="仿宋" w:cs="仿宋"/>
          <w:color w:val="000000" w:themeColor="text1"/>
          <w:sz w:val="24"/>
          <w:szCs w:val="24"/>
        </w:rPr>
        <w:t>　　</w:t>
      </w:r>
      <w:r>
        <w:rPr>
          <w:rFonts w:hint="eastAsia" w:ascii="仿宋" w:hAnsi="仿宋" w:eastAsia="仿宋" w:cs="仿宋"/>
          <w:b/>
          <w:color w:val="000000" w:themeColor="text1"/>
          <w:sz w:val="24"/>
          <w:szCs w:val="24"/>
        </w:rPr>
        <w:t>四、试卷题型结构</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简述题 90分（6小题，每小题15分）</w:t>
      </w:r>
    </w:p>
    <w:p>
      <w:pPr>
        <w:keepNext w:val="0"/>
        <w:keepLines w:val="0"/>
        <w:pageBreakBefore w:val="0"/>
        <w:kinsoku/>
        <w:wordWrap/>
        <w:overflowPunct/>
        <w:topLinePunct w:val="0"/>
        <w:autoSpaceDE/>
        <w:autoSpaceDN/>
        <w:bidi w:val="0"/>
        <w:adjustRightInd/>
        <w:snapToGrid/>
        <w:spacing w:line="324" w:lineRule="auto"/>
        <w:ind w:firstLine="420"/>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论述题 60分（3小题，每小题20分）</w:t>
      </w: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bCs/>
          <w:sz w:val="24"/>
          <w:szCs w:val="24"/>
        </w:rPr>
      </w:pPr>
    </w:p>
    <w:p>
      <w:pPr>
        <w:keepNext w:val="0"/>
        <w:keepLines w:val="0"/>
        <w:pageBreakBefore w:val="0"/>
        <w:kinsoku/>
        <w:wordWrap/>
        <w:overflowPunct/>
        <w:topLinePunct w:val="0"/>
        <w:autoSpaceDE/>
        <w:autoSpaceDN/>
        <w:bidi w:val="0"/>
        <w:adjustRightInd/>
        <w:snapToGrid/>
        <w:spacing w:line="324"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Ⅳ．考查内容</w:t>
      </w:r>
    </w:p>
    <w:p>
      <w:pPr>
        <w:keepNext w:val="0"/>
        <w:keepLines w:val="0"/>
        <w:pageBreakBefore w:val="0"/>
        <w:widowControl/>
        <w:kinsoku/>
        <w:wordWrap/>
        <w:overflowPunct/>
        <w:topLinePunct w:val="0"/>
        <w:autoSpaceDE/>
        <w:autoSpaceDN/>
        <w:bidi w:val="0"/>
        <w:adjustRightInd/>
        <w:snapToGrid/>
        <w:spacing w:line="324" w:lineRule="auto"/>
        <w:ind w:firstLine="1446" w:firstLineChars="6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二、农业政策学</w:t>
      </w:r>
      <w:r>
        <w:rPr>
          <w:rFonts w:hint="eastAsia" w:ascii="仿宋" w:hAnsi="仿宋" w:eastAsia="仿宋" w:cs="仿宋"/>
          <w:b/>
          <w:bCs/>
          <w:color w:val="FF0000"/>
          <w:sz w:val="24"/>
          <w:szCs w:val="24"/>
          <w:highlight w:val="yellow"/>
        </w:rPr>
        <w:t>（2道简答题1道论述题）</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（一）农业政策概述</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1.农业政策学的基本内涵、研究对象</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2.农业政策的含义、特征、类型与功能</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3.农业政策的制定、执行、监督与评估</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（二）农业补贴政策</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1.我国农业补贴政策概述；</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2.我国农业补贴政策执行及其偏差；</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3.完善农业补贴政策的建议；</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（三）农村义务教育政策</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1.农村义务教育政策概述；</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2.农村义务教育政策执行；</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3.农村义务教育政策评估与调整；</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（四）农业科技政策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1.农业科研政策；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2.农业技术推广政策；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3.建立和完善农业科技创新体系；</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（五）农村文化管理政策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1、农村文化管理政策；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2、文化政策与农村文化发展；</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3、深化农村文化体制改革；</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（六）农村合作医疗政策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1.农村医疗政策的发展历程；</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2.新型农村合作医疗政策评估；</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3.医疗改革新方案的评估；</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（七）农村城镇化政策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1.改革开放以来农村城镇化政策的演变；</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2.农村城镇化政策的绩效评估；</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3、城乡统筹发展与全面城镇化建设；</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（八）农村环境政策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1.农村环境政策制定；</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2.农村环境政策执行；</w:t>
      </w:r>
    </w:p>
    <w:p>
      <w:pPr>
        <w:keepNext w:val="0"/>
        <w:keepLines w:val="0"/>
        <w:pageBreakBefore w:val="0"/>
        <w:kinsoku/>
        <w:wordWrap/>
        <w:overflowPunct/>
        <w:topLinePunct w:val="0"/>
        <w:autoSpaceDE/>
        <w:autoSpaceDN/>
        <w:bidi w:val="0"/>
        <w:adjustRightInd/>
        <w:snapToGrid/>
        <w:spacing w:line="324"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3.农村环境政策评估；</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（九）农村养老政策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1.农村养老政策的演进；</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2.农村养老政策的执行情况分析；</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3.新型农村社会养老保险政策；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（十）农村行政体制改革</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1.乡镇村建制的变迁及其发展现状；</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2.乡镇公共服务与行政改革方向；</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3.撤乡并镇改革；</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（十一）农村选举与村委会发展</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1.农村村委会选举的现状；</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2.村委会选举和村委会的合法性分析；</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3.村委会选举制度执行存在的问题；</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lang w:eastAsia="zh-CN"/>
        </w:rPr>
      </w:pPr>
      <w:r>
        <w:rPr>
          <w:rFonts w:hint="eastAsia" w:ascii="仿宋" w:hAnsi="仿宋" w:eastAsia="仿宋" w:cs="仿宋"/>
          <w:sz w:val="24"/>
          <w:szCs w:val="24"/>
        </w:rPr>
        <w:t>（十二）农村土地流转政策</w:t>
      </w:r>
    </w:p>
    <w:p>
      <w:pPr>
        <w:keepNext w:val="0"/>
        <w:keepLines w:val="0"/>
        <w:pageBreakBefore w:val="0"/>
        <w:kinsoku/>
        <w:wordWrap/>
        <w:overflowPunct/>
        <w:topLinePunct w:val="0"/>
        <w:autoSpaceDE/>
        <w:autoSpaceDN/>
        <w:bidi w:val="0"/>
        <w:adjustRightInd/>
        <w:snapToGrid/>
        <w:spacing w:line="324" w:lineRule="auto"/>
        <w:ind w:left="210" w:leftChars="100"/>
        <w:textAlignment w:val="auto"/>
        <w:rPr>
          <w:rFonts w:hint="eastAsia" w:ascii="仿宋" w:hAnsi="仿宋" w:eastAsia="仿宋" w:cs="仿宋"/>
          <w:sz w:val="24"/>
          <w:szCs w:val="24"/>
        </w:rPr>
      </w:pPr>
      <w:r>
        <w:rPr>
          <w:rFonts w:hint="eastAsia" w:ascii="仿宋" w:hAnsi="仿宋" w:eastAsia="仿宋" w:cs="仿宋"/>
          <w:sz w:val="24"/>
          <w:szCs w:val="24"/>
        </w:rPr>
        <w:t>1.土地流转政策变迁；</w:t>
      </w:r>
    </w:p>
    <w:p>
      <w:pPr>
        <w:keepNext w:val="0"/>
        <w:keepLines w:val="0"/>
        <w:pageBreakBefore w:val="0"/>
        <w:widowControl/>
        <w:kinsoku/>
        <w:wordWrap/>
        <w:overflowPunct/>
        <w:topLinePunct w:val="0"/>
        <w:autoSpaceDE/>
        <w:autoSpaceDN/>
        <w:bidi w:val="0"/>
        <w:adjustRightInd/>
        <w:snapToGrid/>
        <w:spacing w:line="324" w:lineRule="auto"/>
        <w:ind w:left="210" w:leftChars="1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2.全国土地流转现状；</w:t>
      </w:r>
    </w:p>
    <w:p>
      <w:pPr>
        <w:keepNext w:val="0"/>
        <w:keepLines w:val="0"/>
        <w:pageBreakBefore w:val="0"/>
        <w:widowControl/>
        <w:kinsoku/>
        <w:wordWrap/>
        <w:overflowPunct/>
        <w:topLinePunct w:val="0"/>
        <w:autoSpaceDE/>
        <w:autoSpaceDN/>
        <w:bidi w:val="0"/>
        <w:adjustRightInd/>
        <w:snapToGrid/>
        <w:spacing w:line="324" w:lineRule="auto"/>
        <w:ind w:left="210" w:leftChars="1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3.土地流转中的问题及约束性条件分析。</w:t>
      </w:r>
    </w:p>
    <w:p>
      <w:pPr>
        <w:keepNext w:val="0"/>
        <w:keepLines w:val="0"/>
        <w:pageBreakBefore w:val="0"/>
        <w:widowControl/>
        <w:kinsoku/>
        <w:wordWrap/>
        <w:overflowPunct/>
        <w:topLinePunct w:val="0"/>
        <w:autoSpaceDE/>
        <w:autoSpaceDN/>
        <w:bidi w:val="0"/>
        <w:adjustRightInd/>
        <w:snapToGrid/>
        <w:spacing w:line="324" w:lineRule="auto"/>
        <w:ind w:left="210" w:leftChars="100"/>
        <w:jc w:val="left"/>
        <w:textAlignment w:val="auto"/>
        <w:rPr>
          <w:rFonts w:hint="eastAsia" w:ascii="仿宋" w:hAnsi="仿宋" w:eastAsia="仿宋" w:cs="仿宋"/>
          <w:sz w:val="24"/>
          <w:szCs w:val="24"/>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zNTU1NjU1YTQ3ZTQ2NzJjMWUzZDcxYWM2MTBjYzcifQ=="/>
  </w:docVars>
  <w:rsids>
    <w:rsidRoot w:val="00064C8C"/>
    <w:rsid w:val="00064C8C"/>
    <w:rsid w:val="000C138B"/>
    <w:rsid w:val="00116E37"/>
    <w:rsid w:val="002138B2"/>
    <w:rsid w:val="00247407"/>
    <w:rsid w:val="002C58CE"/>
    <w:rsid w:val="003A4413"/>
    <w:rsid w:val="003D2C75"/>
    <w:rsid w:val="00456769"/>
    <w:rsid w:val="006435A1"/>
    <w:rsid w:val="00651A34"/>
    <w:rsid w:val="006B3662"/>
    <w:rsid w:val="00703030"/>
    <w:rsid w:val="0071085A"/>
    <w:rsid w:val="00727B08"/>
    <w:rsid w:val="009D59E6"/>
    <w:rsid w:val="009F351C"/>
    <w:rsid w:val="00A01327"/>
    <w:rsid w:val="00A50413"/>
    <w:rsid w:val="00AC22E7"/>
    <w:rsid w:val="00BB0D20"/>
    <w:rsid w:val="00BC1380"/>
    <w:rsid w:val="00BE5610"/>
    <w:rsid w:val="00BF2B0D"/>
    <w:rsid w:val="00D472B9"/>
    <w:rsid w:val="00EE1C7E"/>
    <w:rsid w:val="02C0505F"/>
    <w:rsid w:val="17925D82"/>
    <w:rsid w:val="2B9353D4"/>
    <w:rsid w:val="4426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semiHidden/>
    <w:unhideWhenUsed/>
    <w:qFormat/>
    <w:uiPriority w:val="99"/>
    <w:rPr>
      <w:color w:val="0000FF" w:themeColor="hyperlink"/>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1170</Words>
  <Characters>1214</Characters>
  <Lines>9</Lines>
  <Paragraphs>2</Paragraphs>
  <TotalTime>1</TotalTime>
  <ScaleCrop>false</ScaleCrop>
  <LinksUpToDate>false</LinksUpToDate>
  <CharactersWithSpaces>1241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2019-07-17T00:06:00Z</dcterms:created>
  <dc:creator>xb21cn</dc:creator>
  <cp:lastModifiedBy>子嫣麻麻</cp:lastModifiedBy>
  <dcterms:modified xsi:type="dcterms:W3CDTF">2022-09-19T06:53:30Z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F43DA10502874A1B88FFCB446F72E074</vt:lpwstr>
  </property>
</Properties>
</file>