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A9" w:rsidRDefault="00E45018">
      <w:pPr>
        <w:widowControl/>
        <w:shd w:val="clear" w:color="auto" w:fill="FFFFFF"/>
        <w:spacing w:line="375" w:lineRule="atLeast"/>
        <w:jc w:val="center"/>
        <w:rPr>
          <w:rFonts w:eastAsia="黑体"/>
          <w:spacing w:val="30"/>
          <w:kern w:val="0"/>
          <w:sz w:val="32"/>
          <w:szCs w:val="32"/>
        </w:rPr>
      </w:pPr>
      <w:r>
        <w:rPr>
          <w:rFonts w:eastAsia="黑体" w:hint="eastAsia"/>
          <w:spacing w:val="30"/>
          <w:kern w:val="0"/>
          <w:sz w:val="32"/>
          <w:szCs w:val="32"/>
        </w:rPr>
        <w:t>846</w:t>
      </w:r>
      <w:r>
        <w:rPr>
          <w:rFonts w:eastAsia="黑体" w:hint="eastAsia"/>
          <w:spacing w:val="30"/>
          <w:kern w:val="0"/>
          <w:sz w:val="32"/>
          <w:szCs w:val="32"/>
        </w:rPr>
        <w:t>《经济学基础》</w:t>
      </w:r>
      <w:r>
        <w:rPr>
          <w:rFonts w:ascii="黑体" w:eastAsia="黑体" w:hAnsi="黑体" w:hint="eastAsia"/>
          <w:kern w:val="36"/>
          <w:sz w:val="32"/>
          <w:szCs w:val="32"/>
        </w:rPr>
        <w:t>自命题考试大纲</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67" w:type="dxa"/>
          <w:left w:w="0" w:type="dxa"/>
          <w:right w:w="0" w:type="dxa"/>
        </w:tblCellMar>
        <w:tblLook w:val="04A0"/>
      </w:tblPr>
      <w:tblGrid>
        <w:gridCol w:w="1260"/>
        <w:gridCol w:w="1427"/>
        <w:gridCol w:w="5953"/>
      </w:tblGrid>
      <w:tr w:rsidR="00976BA9">
        <w:trPr>
          <w:trHeight w:val="585"/>
          <w:jc w:val="center"/>
        </w:trPr>
        <w:tc>
          <w:tcPr>
            <w:tcW w:w="1260" w:type="dxa"/>
            <w:tcMar>
              <w:top w:w="0" w:type="dxa"/>
              <w:left w:w="108" w:type="dxa"/>
              <w:bottom w:w="0" w:type="dxa"/>
              <w:right w:w="108" w:type="dxa"/>
            </w:tcMar>
            <w:vAlign w:val="center"/>
          </w:tcPr>
          <w:p w:rsidR="00976BA9" w:rsidRDefault="00E45018">
            <w:pPr>
              <w:widowControl/>
              <w:spacing w:line="460" w:lineRule="atLeast"/>
              <w:jc w:val="center"/>
              <w:rPr>
                <w:kern w:val="0"/>
                <w:sz w:val="24"/>
              </w:rPr>
            </w:pPr>
            <w:r>
              <w:rPr>
                <w:rFonts w:hAnsi="宋体" w:hint="eastAsia"/>
                <w:b/>
                <w:bCs/>
                <w:kern w:val="0"/>
                <w:sz w:val="24"/>
              </w:rPr>
              <w:t>科目代码</w:t>
            </w:r>
          </w:p>
        </w:tc>
        <w:tc>
          <w:tcPr>
            <w:tcW w:w="1427" w:type="dxa"/>
            <w:tcMar>
              <w:top w:w="0" w:type="dxa"/>
              <w:left w:w="108" w:type="dxa"/>
              <w:bottom w:w="0" w:type="dxa"/>
              <w:right w:w="108" w:type="dxa"/>
            </w:tcMar>
            <w:vAlign w:val="center"/>
          </w:tcPr>
          <w:p w:rsidR="00976BA9" w:rsidRDefault="00E45018">
            <w:pPr>
              <w:widowControl/>
              <w:wordWrap w:val="0"/>
              <w:spacing w:line="460" w:lineRule="atLeast"/>
              <w:jc w:val="center"/>
              <w:rPr>
                <w:kern w:val="0"/>
                <w:sz w:val="24"/>
              </w:rPr>
            </w:pPr>
            <w:r>
              <w:rPr>
                <w:rFonts w:hAnsi="宋体" w:hint="eastAsia"/>
                <w:b/>
                <w:bCs/>
                <w:kern w:val="0"/>
                <w:sz w:val="24"/>
              </w:rPr>
              <w:t>科目名称</w:t>
            </w:r>
          </w:p>
        </w:tc>
        <w:tc>
          <w:tcPr>
            <w:tcW w:w="5953" w:type="dxa"/>
            <w:tcMar>
              <w:top w:w="0" w:type="dxa"/>
              <w:left w:w="108" w:type="dxa"/>
              <w:bottom w:w="0" w:type="dxa"/>
              <w:right w:w="108" w:type="dxa"/>
            </w:tcMar>
            <w:vAlign w:val="center"/>
          </w:tcPr>
          <w:p w:rsidR="00976BA9" w:rsidRDefault="00E45018">
            <w:pPr>
              <w:widowControl/>
              <w:wordWrap w:val="0"/>
              <w:spacing w:line="460" w:lineRule="atLeast"/>
              <w:jc w:val="center"/>
              <w:rPr>
                <w:kern w:val="0"/>
                <w:sz w:val="24"/>
              </w:rPr>
            </w:pPr>
            <w:r>
              <w:rPr>
                <w:rFonts w:hAnsi="宋体" w:hint="eastAsia"/>
                <w:b/>
                <w:bCs/>
                <w:kern w:val="0"/>
                <w:sz w:val="24"/>
              </w:rPr>
              <w:t>考</w:t>
            </w:r>
            <w:r>
              <w:rPr>
                <w:b/>
                <w:bCs/>
                <w:kern w:val="0"/>
                <w:sz w:val="24"/>
              </w:rPr>
              <w:t>   </w:t>
            </w:r>
            <w:r>
              <w:rPr>
                <w:rFonts w:hAnsi="宋体" w:hint="eastAsia"/>
                <w:b/>
                <w:bCs/>
                <w:kern w:val="0"/>
                <w:sz w:val="24"/>
              </w:rPr>
              <w:t>试</w:t>
            </w:r>
            <w:r>
              <w:rPr>
                <w:b/>
                <w:bCs/>
                <w:kern w:val="0"/>
                <w:sz w:val="24"/>
              </w:rPr>
              <w:t>   </w:t>
            </w:r>
            <w:r>
              <w:rPr>
                <w:rFonts w:hAnsi="宋体" w:hint="eastAsia"/>
                <w:b/>
                <w:bCs/>
                <w:kern w:val="0"/>
                <w:sz w:val="24"/>
              </w:rPr>
              <w:t>大</w:t>
            </w:r>
            <w:r>
              <w:rPr>
                <w:b/>
                <w:bCs/>
                <w:kern w:val="0"/>
                <w:sz w:val="24"/>
              </w:rPr>
              <w:t>   </w:t>
            </w:r>
            <w:r>
              <w:rPr>
                <w:rFonts w:hAnsi="宋体" w:hint="eastAsia"/>
                <w:b/>
                <w:bCs/>
                <w:kern w:val="0"/>
                <w:sz w:val="24"/>
              </w:rPr>
              <w:t>纲</w:t>
            </w:r>
          </w:p>
          <w:p w:rsidR="00976BA9" w:rsidRDefault="00E45018">
            <w:pPr>
              <w:widowControl/>
              <w:wordWrap w:val="0"/>
              <w:spacing w:line="460" w:lineRule="atLeast"/>
              <w:jc w:val="center"/>
              <w:rPr>
                <w:kern w:val="0"/>
                <w:sz w:val="24"/>
              </w:rPr>
            </w:pPr>
            <w:r>
              <w:rPr>
                <w:rFonts w:hAnsi="宋体" w:hint="eastAsia"/>
                <w:kern w:val="0"/>
                <w:sz w:val="24"/>
              </w:rPr>
              <w:t>（提纲式列举本科目须考查的知识要点）</w:t>
            </w:r>
          </w:p>
        </w:tc>
      </w:tr>
      <w:tr w:rsidR="00976BA9">
        <w:trPr>
          <w:trHeight w:val="585"/>
          <w:jc w:val="center"/>
        </w:trPr>
        <w:tc>
          <w:tcPr>
            <w:tcW w:w="1260" w:type="dxa"/>
            <w:tcMar>
              <w:top w:w="0" w:type="dxa"/>
              <w:left w:w="108" w:type="dxa"/>
              <w:bottom w:w="0" w:type="dxa"/>
              <w:right w:w="108" w:type="dxa"/>
            </w:tcMar>
            <w:vAlign w:val="center"/>
          </w:tcPr>
          <w:p w:rsidR="00976BA9" w:rsidRDefault="00E45018">
            <w:pPr>
              <w:widowControl/>
              <w:wordWrap w:val="0"/>
              <w:spacing w:line="460" w:lineRule="atLeast"/>
              <w:jc w:val="center"/>
              <w:rPr>
                <w:kern w:val="0"/>
                <w:sz w:val="24"/>
              </w:rPr>
            </w:pPr>
            <w:r>
              <w:rPr>
                <w:kern w:val="0"/>
                <w:sz w:val="24"/>
              </w:rPr>
              <w:t>846</w:t>
            </w:r>
          </w:p>
        </w:tc>
        <w:tc>
          <w:tcPr>
            <w:tcW w:w="1427" w:type="dxa"/>
            <w:tcMar>
              <w:top w:w="0" w:type="dxa"/>
              <w:left w:w="108" w:type="dxa"/>
              <w:bottom w:w="0" w:type="dxa"/>
              <w:right w:w="108" w:type="dxa"/>
            </w:tcMar>
            <w:vAlign w:val="center"/>
          </w:tcPr>
          <w:p w:rsidR="00976BA9" w:rsidRDefault="00E45018">
            <w:pPr>
              <w:widowControl/>
              <w:wordWrap w:val="0"/>
              <w:spacing w:line="460" w:lineRule="atLeast"/>
              <w:jc w:val="center"/>
              <w:rPr>
                <w:kern w:val="0"/>
                <w:sz w:val="24"/>
              </w:rPr>
            </w:pPr>
            <w:r>
              <w:rPr>
                <w:rFonts w:hint="eastAsia"/>
                <w:kern w:val="0"/>
                <w:sz w:val="24"/>
              </w:rPr>
              <w:t>经济学基础</w:t>
            </w:r>
          </w:p>
        </w:tc>
        <w:tc>
          <w:tcPr>
            <w:tcW w:w="5953" w:type="dxa"/>
            <w:tcMar>
              <w:top w:w="0" w:type="dxa"/>
              <w:left w:w="108" w:type="dxa"/>
              <w:bottom w:w="0" w:type="dxa"/>
              <w:right w:w="108" w:type="dxa"/>
            </w:tcMar>
          </w:tcPr>
          <w:p w:rsidR="00976BA9" w:rsidRDefault="00E45018">
            <w:pPr>
              <w:pStyle w:val="2"/>
              <w:spacing w:beforeLines="0" w:afterLines="0" w:line="300" w:lineRule="auto"/>
            </w:pPr>
            <w:r>
              <w:rPr>
                <w:rFonts w:hint="eastAsia"/>
              </w:rPr>
              <w:t>一、考试性质</w:t>
            </w:r>
          </w:p>
          <w:p w:rsidR="00976BA9" w:rsidRDefault="00E45018">
            <w:pPr>
              <w:spacing w:line="300" w:lineRule="auto"/>
              <w:ind w:firstLineChars="200" w:firstLine="480"/>
              <w:rPr>
                <w:rFonts w:ascii="仿宋" w:eastAsia="仿宋" w:hAnsi="仿宋"/>
                <w:sz w:val="24"/>
              </w:rPr>
            </w:pPr>
            <w:r>
              <w:rPr>
                <w:rFonts w:ascii="仿宋" w:eastAsia="仿宋" w:hAnsi="仿宋" w:hint="eastAsia"/>
                <w:sz w:val="24"/>
              </w:rPr>
              <w:t>金融与统计学院</w:t>
            </w:r>
            <w:r w:rsidR="002A4A8E">
              <w:rPr>
                <w:rFonts w:ascii="仿宋" w:eastAsia="仿宋" w:hAnsi="仿宋" w:hint="eastAsia"/>
                <w:sz w:val="24"/>
              </w:rPr>
              <w:t>2023</w:t>
            </w:r>
            <w:r>
              <w:rPr>
                <w:rFonts w:ascii="仿宋" w:eastAsia="仿宋" w:hAnsi="仿宋" w:hint="eastAsia"/>
                <w:sz w:val="24"/>
              </w:rPr>
              <w:t>年金融学（代码020204）和数量经济学（代码020209）科学学位硕士研究生入学统一考试专业课程考试的考试科目为《经济学基础》，包括《西方经济学（微观）》、《西方经济学（宏观）》、《计量经济学》三部分内容。《经济学基础》考试力求反映金融学硕士、数量经济学硕士科学学位的特点，其目的是科学、公平、准确、规范地测评考生是否具备攻读金融学、数量经济学</w:t>
            </w:r>
            <w:bookmarkStart w:id="0" w:name="_GoBack"/>
            <w:bookmarkEnd w:id="0"/>
            <w:r>
              <w:rPr>
                <w:rFonts w:ascii="仿宋" w:eastAsia="仿宋" w:hAnsi="仿宋" w:hint="eastAsia"/>
                <w:sz w:val="24"/>
              </w:rPr>
              <w:t>科学学位硕士所具备的基本素质和综合能力，选拔具有发展潜力的优秀人才入学，为国家的经济建设培养具有创新精神、创新能力和从事科学研究、教学、管理等工作能力的高层次学术型专门人才。</w:t>
            </w:r>
          </w:p>
          <w:p w:rsidR="00976BA9" w:rsidRDefault="00E45018">
            <w:pPr>
              <w:pStyle w:val="2"/>
              <w:spacing w:beforeLines="0" w:afterLines="0" w:line="300" w:lineRule="auto"/>
            </w:pPr>
            <w:r>
              <w:rPr>
                <w:rFonts w:hint="eastAsia"/>
              </w:rPr>
              <w:t>二、考试要求</w:t>
            </w:r>
          </w:p>
          <w:p w:rsidR="00976BA9" w:rsidRDefault="00E45018">
            <w:pPr>
              <w:spacing w:line="300" w:lineRule="auto"/>
              <w:ind w:firstLineChars="200" w:firstLine="480"/>
              <w:rPr>
                <w:rFonts w:ascii="仿宋" w:eastAsia="仿宋" w:hAnsi="仿宋"/>
                <w:sz w:val="24"/>
              </w:rPr>
            </w:pPr>
            <w:r>
              <w:rPr>
                <w:rFonts w:ascii="仿宋" w:eastAsia="仿宋" w:hAnsi="仿宋" w:hint="eastAsia"/>
                <w:sz w:val="24"/>
              </w:rPr>
              <w:t>测试考生对于与微观经济学、宏观经济学以及计量经济学相关的基本概念、基础理论的掌握和运用能力。</w:t>
            </w:r>
          </w:p>
          <w:p w:rsidR="00976BA9" w:rsidRDefault="00E45018">
            <w:pPr>
              <w:numPr>
                <w:ilvl w:val="0"/>
                <w:numId w:val="1"/>
              </w:numPr>
              <w:spacing w:line="300" w:lineRule="auto"/>
              <w:rPr>
                <w:b/>
                <w:kern w:val="0"/>
                <w:sz w:val="24"/>
              </w:rPr>
            </w:pPr>
            <w:r>
              <w:rPr>
                <w:rFonts w:ascii="宋体" w:hAnsi="宋体" w:cs="宋体" w:hint="eastAsia"/>
                <w:b/>
                <w:bCs/>
                <w:sz w:val="28"/>
                <w:szCs w:val="28"/>
              </w:rPr>
              <w:t>题型与分值</w:t>
            </w:r>
          </w:p>
          <w:p w:rsidR="00976BA9" w:rsidRDefault="00E45018">
            <w:pPr>
              <w:spacing w:line="300" w:lineRule="auto"/>
              <w:ind w:firstLineChars="200" w:firstLine="480"/>
              <w:rPr>
                <w:rFonts w:ascii="仿宋" w:eastAsia="仿宋" w:hAnsi="仿宋"/>
                <w:sz w:val="24"/>
              </w:rPr>
            </w:pPr>
            <w:r>
              <w:rPr>
                <w:rFonts w:ascii="仿宋" w:eastAsia="仿宋" w:hAnsi="仿宋" w:hint="eastAsia"/>
                <w:sz w:val="24"/>
              </w:rPr>
              <w:t>本试卷满分为</w:t>
            </w:r>
            <w:r>
              <w:rPr>
                <w:rFonts w:ascii="仿宋" w:eastAsia="仿宋" w:hAnsi="仿宋"/>
                <w:sz w:val="24"/>
              </w:rPr>
              <w:t>150</w:t>
            </w:r>
            <w:r>
              <w:rPr>
                <w:rFonts w:ascii="仿宋" w:eastAsia="仿宋" w:hAnsi="仿宋" w:hint="eastAsia"/>
                <w:sz w:val="24"/>
              </w:rPr>
              <w:t>分，</w:t>
            </w:r>
            <w:r>
              <w:rPr>
                <w:rFonts w:ascii="仿宋" w:eastAsia="仿宋" w:hAnsi="仿宋" w:cs="Arial" w:hint="eastAsia"/>
                <w:kern w:val="0"/>
                <w:sz w:val="24"/>
              </w:rPr>
              <w:t>其中</w:t>
            </w:r>
            <w:r>
              <w:rPr>
                <w:rFonts w:ascii="仿宋" w:eastAsia="仿宋" w:hAnsi="仿宋" w:hint="eastAsia"/>
                <w:sz w:val="24"/>
              </w:rPr>
              <w:t>微观经济学</w:t>
            </w:r>
            <w:r>
              <w:rPr>
                <w:rFonts w:ascii="仿宋" w:eastAsia="仿宋" w:hAnsi="仿宋" w:cs="Arial" w:hint="eastAsia"/>
                <w:kern w:val="0"/>
                <w:sz w:val="24"/>
              </w:rPr>
              <w:t>、</w:t>
            </w:r>
            <w:r>
              <w:rPr>
                <w:rFonts w:ascii="仿宋" w:eastAsia="仿宋" w:hAnsi="仿宋" w:hint="eastAsia"/>
                <w:sz w:val="24"/>
              </w:rPr>
              <w:t>宏观经济学</w:t>
            </w:r>
            <w:r>
              <w:rPr>
                <w:rFonts w:ascii="仿宋" w:eastAsia="仿宋" w:hAnsi="仿宋" w:cs="Arial" w:hint="eastAsia"/>
                <w:kern w:val="0"/>
                <w:sz w:val="24"/>
              </w:rPr>
              <w:t>、</w:t>
            </w:r>
            <w:r>
              <w:rPr>
                <w:rFonts w:ascii="仿宋" w:eastAsia="仿宋" w:hAnsi="仿宋" w:hint="eastAsia"/>
                <w:sz w:val="24"/>
              </w:rPr>
              <w:t>计量经济学各</w:t>
            </w:r>
            <w:r>
              <w:rPr>
                <w:rFonts w:ascii="仿宋" w:eastAsia="仿宋" w:hAnsi="仿宋" w:cs="Arial" w:hint="eastAsia"/>
                <w:kern w:val="0"/>
                <w:sz w:val="24"/>
              </w:rPr>
              <w:t>占50分，</w:t>
            </w:r>
            <w:r>
              <w:rPr>
                <w:rFonts w:ascii="仿宋" w:eastAsia="仿宋" w:hAnsi="仿宋" w:hint="eastAsia"/>
                <w:sz w:val="24"/>
              </w:rPr>
              <w:t>考试题型包括名词解释(18分)、不定项选择题（60分）、计算题（50分）与论述题（22分）。题型和分值分布可能酌情微调。</w:t>
            </w:r>
          </w:p>
          <w:p w:rsidR="00976BA9" w:rsidRDefault="00E45018">
            <w:pPr>
              <w:pStyle w:val="2"/>
              <w:spacing w:beforeLines="0" w:afterLines="0" w:line="300" w:lineRule="auto"/>
            </w:pPr>
            <w:r>
              <w:rPr>
                <w:rFonts w:hint="eastAsia"/>
              </w:rPr>
              <w:t>四、考试内容</w:t>
            </w:r>
          </w:p>
          <w:p w:rsidR="00976BA9" w:rsidRDefault="00E45018">
            <w:pPr>
              <w:widowControl/>
              <w:snapToGrid w:val="0"/>
              <w:jc w:val="left"/>
              <w:rPr>
                <w:rFonts w:ascii="仿宋" w:eastAsia="仿宋" w:hAnsi="仿宋"/>
                <w:sz w:val="24"/>
              </w:rPr>
            </w:pPr>
            <w:r>
              <w:rPr>
                <w:rFonts w:ascii="仿宋" w:eastAsia="仿宋" w:hAnsi="仿宋" w:hint="eastAsia"/>
                <w:sz w:val="24"/>
              </w:rPr>
              <w:t>第一部分西方经济学（宏观、微观部分）</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一、经济学研究对象与研究方法</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（一）经济学的研究对象</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（二）经济学的研究内容</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（三）经济学的研究方法</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二、需求、供给、弹性与均衡价格</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（一）需求理论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（二）供给理论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lastRenderedPageBreak/>
              <w:t>（三）均衡</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（四）弹性理论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三、消费者行为理论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（一）效用、总效用与边际效用</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（二）边际效用递减规律与消费者剩余</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（三）无差异曲线与预算线、消费者效用最大化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（四）价格消费曲线与收入消费曲线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（五）替代效应与收入效应</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（六）不确定性与选择</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四、生产者行为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（一）厂商与生产函数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（二）短期生产函数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（三）长期生产函数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（四）规模报酬</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五、成本理论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（一）机会成本与经济利润</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（二）成本最小化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（三）短期成本曲线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（四）长期成本曲线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六、完全竞争市场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（一）划分市场结构的标准与市场结构类型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（二）完全竞争市场假设、价格、需求曲线、收益曲线、利润最大化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（三）完全竞争市场上的短期均衡与供给曲线。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（四）完全竞争市场上的长期均衡与供给曲线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（五）完全竞争市场的福利</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七、不完全竞争市场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（一）完全垄断市场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（二）垄断竞争市场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（三）寡头市场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（四）不同市场的比较</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八、生产要素理论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（一）完全竞争厂商对生产要素的需求曲线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（二）要素供给曲线概述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（三）劳动的供给曲线及工资的决定</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lastRenderedPageBreak/>
              <w:t>（四）地租的决定</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（五）资本与利息</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（六）洛伦兹曲线与基尼系数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九、一般均衡与福利经济学</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（一）瓦尔拉的一般均衡理论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（二）交换、生产以及交换和生产的帕累托最优</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（三）完全竞争和帕累托最优</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（四）社会福利函数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（五）效率与公平</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十、市场失灵与微观经济政策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（一）不完全竞争</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（二）外部影响</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（三）公共物品与公共资源</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（四）信息的不完全与不对称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十一、国民收入核算</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（一）国内生产总值与国民生产总值</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w:t>
            </w:r>
            <w:r>
              <w:rPr>
                <w:rFonts w:ascii="仿宋" w:eastAsia="仿宋" w:hAnsi="仿宋"/>
                <w:color w:val="000000"/>
                <w:sz w:val="24"/>
              </w:rPr>
              <w:t>GDP</w:t>
            </w:r>
            <w:r>
              <w:rPr>
                <w:rFonts w:ascii="仿宋" w:eastAsia="仿宋" w:hAnsi="仿宋" w:hint="eastAsia"/>
                <w:color w:val="000000"/>
                <w:sz w:val="24"/>
              </w:rPr>
              <w:t>的核算</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（三）国民收入核算中的其他总量</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（四）名义</w:t>
            </w:r>
            <w:r>
              <w:rPr>
                <w:rFonts w:ascii="仿宋" w:eastAsia="仿宋" w:hAnsi="仿宋"/>
                <w:color w:val="000000"/>
                <w:sz w:val="24"/>
              </w:rPr>
              <w:t>GDP</w:t>
            </w:r>
            <w:r>
              <w:rPr>
                <w:rFonts w:ascii="仿宋" w:eastAsia="仿宋" w:hAnsi="仿宋" w:hint="eastAsia"/>
                <w:color w:val="000000"/>
                <w:sz w:val="24"/>
              </w:rPr>
              <w:t>和实际</w:t>
            </w:r>
            <w:r>
              <w:rPr>
                <w:rFonts w:ascii="仿宋" w:eastAsia="仿宋" w:hAnsi="仿宋"/>
                <w:color w:val="000000"/>
                <w:sz w:val="24"/>
              </w:rPr>
              <w:t>GDP</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十二、国民收入的决定：收入支出模型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（一）凯恩斯的消费理论与消费函数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（二）两部门经济中国民收入的决定</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（三）乘数理论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（四）三部门经济中国民收入的决定</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（五）四部门经济中国民收入的决定</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十三、国民收入的决定：</w:t>
            </w:r>
            <w:r>
              <w:rPr>
                <w:rFonts w:ascii="仿宋" w:eastAsia="仿宋" w:hAnsi="仿宋"/>
                <w:color w:val="000000"/>
                <w:sz w:val="24"/>
              </w:rPr>
              <w:t>IS—LM</w:t>
            </w:r>
            <w:r>
              <w:rPr>
                <w:rFonts w:ascii="仿宋" w:eastAsia="仿宋" w:hAnsi="仿宋" w:hint="eastAsia"/>
                <w:color w:val="000000"/>
                <w:sz w:val="24"/>
              </w:rPr>
              <w:t>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（一）利率、资本的边际效率与投资</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（二）产品市场的均衡：</w:t>
            </w:r>
            <w:r>
              <w:rPr>
                <w:rFonts w:ascii="仿宋" w:eastAsia="仿宋" w:hAnsi="仿宋"/>
                <w:color w:val="000000"/>
                <w:sz w:val="24"/>
              </w:rPr>
              <w:t>IS</w:t>
            </w:r>
            <w:r>
              <w:rPr>
                <w:rFonts w:ascii="仿宋" w:eastAsia="仿宋" w:hAnsi="仿宋" w:hint="eastAsia"/>
                <w:color w:val="000000"/>
                <w:sz w:val="24"/>
              </w:rPr>
              <w:t>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（三）货币市场的均衡：</w:t>
            </w:r>
            <w:r>
              <w:rPr>
                <w:rFonts w:ascii="仿宋" w:eastAsia="仿宋" w:hAnsi="仿宋"/>
                <w:color w:val="000000"/>
                <w:sz w:val="24"/>
              </w:rPr>
              <w:t>LM</w:t>
            </w:r>
            <w:r>
              <w:rPr>
                <w:rFonts w:ascii="仿宋" w:eastAsia="仿宋" w:hAnsi="仿宋" w:hint="eastAsia"/>
                <w:color w:val="000000"/>
                <w:sz w:val="24"/>
              </w:rPr>
              <w:t>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（四）产品市场与货币市场的同时均衡：</w:t>
            </w:r>
            <w:r>
              <w:rPr>
                <w:rFonts w:ascii="仿宋" w:eastAsia="仿宋" w:hAnsi="仿宋"/>
                <w:color w:val="000000"/>
                <w:sz w:val="24"/>
              </w:rPr>
              <w:t>IS—LM</w:t>
            </w:r>
            <w:r>
              <w:rPr>
                <w:rFonts w:ascii="仿宋" w:eastAsia="仿宋" w:hAnsi="仿宋" w:hint="eastAsia"/>
                <w:color w:val="000000"/>
                <w:sz w:val="24"/>
              </w:rPr>
              <w:t>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十四、总需求总供给分析</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（一）总供给曲线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（二）总需求曲线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（三）总需求与总供给模型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lastRenderedPageBreak/>
              <w:t>十五、失业与通货膨胀</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（一）失业描述、原因以及失业率计算</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（二）通货膨胀</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（三）失业与通货膨胀的关系</w:t>
            </w:r>
            <w:r>
              <w:rPr>
                <w:rFonts w:ascii="仿宋" w:eastAsia="仿宋" w:hAnsi="仿宋"/>
                <w:color w:val="000000"/>
                <w:sz w:val="24"/>
              </w:rPr>
              <w:t>-</w:t>
            </w:r>
            <w:r>
              <w:rPr>
                <w:rFonts w:ascii="仿宋" w:eastAsia="仿宋" w:hAnsi="仿宋" w:hint="eastAsia"/>
                <w:color w:val="000000"/>
                <w:sz w:val="24"/>
              </w:rPr>
              <w:t>菲利普斯曲线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十六、宏观经济政策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（一）宏观经济政策概述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（二）财政政策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（三）货币政策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（四）财政政策和货币政策的配合</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（五）供给管理政策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十七、开放条件下的宏观经济学</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（一）汇率与国际收支</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（二）蒙代尔</w:t>
            </w:r>
            <w:r>
              <w:rPr>
                <w:rFonts w:ascii="仿宋" w:eastAsia="仿宋" w:hAnsi="仿宋"/>
                <w:color w:val="000000"/>
                <w:sz w:val="24"/>
              </w:rPr>
              <w:t>-</w:t>
            </w:r>
            <w:r>
              <w:rPr>
                <w:rFonts w:ascii="仿宋" w:eastAsia="仿宋" w:hAnsi="仿宋" w:hint="eastAsia"/>
                <w:color w:val="000000"/>
                <w:sz w:val="24"/>
              </w:rPr>
              <w:t>弗莱明模型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十八、经济增长论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（一）新古典增长模型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（二）内生增长理论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十九、宏观经济学的微观基础</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（一）消费</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（二）投资</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（三）货币需求</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二十、新古典宏观经济学和新凯恩斯主义经济学</w:t>
            </w:r>
          </w:p>
          <w:p w:rsidR="00976BA9" w:rsidRDefault="00976BA9">
            <w:pPr>
              <w:widowControl/>
              <w:snapToGrid w:val="0"/>
              <w:jc w:val="left"/>
              <w:rPr>
                <w:rFonts w:ascii="仿宋" w:eastAsia="仿宋" w:hAnsi="仿宋"/>
                <w:sz w:val="24"/>
              </w:rPr>
            </w:pPr>
          </w:p>
          <w:p w:rsidR="00976BA9" w:rsidRDefault="00E45018">
            <w:pPr>
              <w:spacing w:line="300" w:lineRule="auto"/>
              <w:rPr>
                <w:rFonts w:ascii="仿宋" w:eastAsia="仿宋" w:hAnsi="仿宋"/>
                <w:b/>
                <w:bCs/>
                <w:color w:val="000000"/>
                <w:sz w:val="24"/>
              </w:rPr>
            </w:pPr>
            <w:r>
              <w:rPr>
                <w:rFonts w:ascii="仿宋" w:eastAsia="仿宋" w:hAnsi="仿宋" w:hint="eastAsia"/>
                <w:color w:val="000000"/>
                <w:sz w:val="24"/>
              </w:rPr>
              <w:t>第二部分计量经济学</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一、一元线性回归模型</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（一）回归分析与相关分析</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（二）总体相关系数和样本相关系数计算</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（三）总体回归函数与样本回归函数</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（四）一元线性回归模型的基本假设</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对模型设定的假设</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对解释变量的假设</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对随机干扰项的假设</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（五）普通最小二乘法、最大似然法、矩估计法</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（六）最小二乘估计式的统计性质</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（七）一元线性回归模型的统计检验</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拟合优度检验</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lastRenderedPageBreak/>
              <w:t>2.</w:t>
            </w:r>
            <w:r>
              <w:rPr>
                <w:rFonts w:ascii="仿宋" w:eastAsia="仿宋" w:hAnsi="仿宋" w:hint="eastAsia"/>
                <w:color w:val="000000"/>
                <w:sz w:val="24"/>
              </w:rPr>
              <w:t>回归系数区间估计</w:t>
            </w:r>
          </w:p>
          <w:p w:rsidR="00976BA9" w:rsidRDefault="00E45018">
            <w:pPr>
              <w:spacing w:line="300" w:lineRule="auto"/>
              <w:ind w:firstLineChars="500" w:firstLine="120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回归系数假设检验—</w:t>
            </w:r>
            <w:r>
              <w:rPr>
                <w:rFonts w:ascii="仿宋" w:eastAsia="仿宋" w:hAnsi="仿宋"/>
                <w:color w:val="000000"/>
                <w:sz w:val="24"/>
              </w:rPr>
              <w:t>t</w:t>
            </w:r>
            <w:r>
              <w:rPr>
                <w:rFonts w:ascii="仿宋" w:eastAsia="仿宋" w:hAnsi="仿宋" w:hint="eastAsia"/>
                <w:color w:val="000000"/>
                <w:sz w:val="24"/>
              </w:rPr>
              <w:t>检验</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二、多元线性回归模型</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（一）多元线性回归模型的基本假设</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（二）多元线性回归模型的参数估计</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（三）多元线性回归模型的统计检验</w:t>
            </w:r>
          </w:p>
          <w:p w:rsidR="00976BA9" w:rsidRDefault="00E45018">
            <w:pPr>
              <w:spacing w:line="300" w:lineRule="auto"/>
              <w:ind w:firstLineChars="600" w:firstLine="1440"/>
              <w:rPr>
                <w:rFonts w:ascii="仿宋" w:eastAsia="仿宋" w:hAnsi="仿宋"/>
                <w:b/>
                <w:bCs/>
                <w:color w:val="2E74B5"/>
                <w:sz w:val="24"/>
              </w:rPr>
            </w:pPr>
            <w:r>
              <w:rPr>
                <w:rFonts w:ascii="仿宋" w:eastAsia="仿宋" w:hAnsi="仿宋"/>
                <w:color w:val="000000"/>
                <w:sz w:val="24"/>
              </w:rPr>
              <w:t>1.</w:t>
            </w:r>
            <w:r>
              <w:rPr>
                <w:rFonts w:ascii="仿宋" w:eastAsia="仿宋" w:hAnsi="仿宋" w:hint="eastAsia"/>
                <w:color w:val="000000"/>
                <w:sz w:val="24"/>
              </w:rPr>
              <w:t>拟合优度检验</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方程总体线性的显著性检验—</w:t>
            </w:r>
            <w:r>
              <w:rPr>
                <w:rFonts w:ascii="仿宋" w:eastAsia="仿宋" w:hAnsi="仿宋"/>
                <w:color w:val="000000"/>
                <w:sz w:val="24"/>
              </w:rPr>
              <w:t>F</w:t>
            </w:r>
            <w:r>
              <w:rPr>
                <w:rFonts w:ascii="仿宋" w:eastAsia="仿宋" w:hAnsi="仿宋" w:hint="eastAsia"/>
                <w:color w:val="000000"/>
                <w:sz w:val="24"/>
              </w:rPr>
              <w:t>检验</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变量的显著性检验—</w:t>
            </w:r>
            <w:r>
              <w:rPr>
                <w:rFonts w:ascii="仿宋" w:eastAsia="仿宋" w:hAnsi="仿宋"/>
                <w:color w:val="000000"/>
                <w:sz w:val="24"/>
              </w:rPr>
              <w:t>t</w:t>
            </w:r>
            <w:r>
              <w:rPr>
                <w:rFonts w:ascii="仿宋" w:eastAsia="仿宋" w:hAnsi="仿宋" w:hint="eastAsia"/>
                <w:color w:val="000000"/>
                <w:sz w:val="24"/>
              </w:rPr>
              <w:t>检验</w:t>
            </w:r>
          </w:p>
          <w:p w:rsidR="00976BA9" w:rsidRDefault="00E45018">
            <w:pPr>
              <w:spacing w:line="300" w:lineRule="auto"/>
              <w:ind w:firstLineChars="600" w:firstLine="1440"/>
              <w:rPr>
                <w:rFonts w:ascii="仿宋" w:eastAsia="仿宋" w:hAnsi="仿宋"/>
                <w:color w:val="000000"/>
                <w:sz w:val="24"/>
              </w:rPr>
            </w:pPr>
            <w:r>
              <w:rPr>
                <w:rFonts w:ascii="仿宋" w:eastAsia="仿宋" w:hAnsi="仿宋" w:hint="eastAsia"/>
                <w:color w:val="000000"/>
                <w:sz w:val="24"/>
              </w:rPr>
              <w:t>4.多元线性回归模型的预测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三、多重共线性</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（一）多重共线性含义</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（二）多重共线性产生原因</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（三）多重共线性产生后果</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（四）多重共线性的检验</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（五）如何克服多重共线性</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四、异方差性</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（一）异方差含义及类型</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（二）异方差产生原因及造成后果</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（三）异方差性的检验</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（四）异方差的修正方法</w:t>
            </w:r>
          </w:p>
          <w:p w:rsidR="00976BA9" w:rsidRDefault="00E45018">
            <w:pPr>
              <w:spacing w:line="300" w:lineRule="auto"/>
              <w:ind w:firstLine="480"/>
              <w:rPr>
                <w:rFonts w:ascii="仿宋" w:eastAsia="仿宋" w:hAnsi="仿宋"/>
                <w:color w:val="000000"/>
                <w:sz w:val="24"/>
              </w:rPr>
            </w:pPr>
            <w:r>
              <w:rPr>
                <w:rFonts w:ascii="仿宋" w:eastAsia="仿宋" w:hAnsi="仿宋" w:hint="eastAsia"/>
                <w:color w:val="000000"/>
                <w:sz w:val="24"/>
              </w:rPr>
              <w:t>五、内生解释变量问题</w:t>
            </w:r>
          </w:p>
          <w:p w:rsidR="00976BA9" w:rsidRDefault="00E45018">
            <w:pPr>
              <w:spacing w:line="300" w:lineRule="auto"/>
              <w:ind w:firstLine="480"/>
              <w:rPr>
                <w:rFonts w:ascii="仿宋" w:eastAsia="仿宋" w:hAnsi="仿宋"/>
                <w:color w:val="000000"/>
                <w:sz w:val="24"/>
              </w:rPr>
            </w:pPr>
            <w:r>
              <w:rPr>
                <w:rFonts w:ascii="仿宋" w:eastAsia="仿宋" w:hAnsi="仿宋" w:hint="eastAsia"/>
                <w:color w:val="000000"/>
                <w:sz w:val="24"/>
              </w:rPr>
              <w:t>（一）内生解释变量的含义</w:t>
            </w:r>
          </w:p>
          <w:p w:rsidR="00976BA9" w:rsidRDefault="00E45018">
            <w:pPr>
              <w:spacing w:line="300" w:lineRule="auto"/>
              <w:ind w:firstLine="480"/>
              <w:rPr>
                <w:rFonts w:ascii="仿宋" w:eastAsia="仿宋" w:hAnsi="仿宋"/>
                <w:color w:val="000000"/>
                <w:sz w:val="24"/>
              </w:rPr>
            </w:pPr>
            <w:r>
              <w:rPr>
                <w:rFonts w:ascii="仿宋" w:eastAsia="仿宋" w:hAnsi="仿宋" w:hint="eastAsia"/>
                <w:color w:val="000000"/>
                <w:sz w:val="24"/>
              </w:rPr>
              <w:t>（二）内生解释变量产生的原因及后果</w:t>
            </w:r>
          </w:p>
          <w:p w:rsidR="00976BA9" w:rsidRDefault="00E45018">
            <w:pPr>
              <w:spacing w:line="300" w:lineRule="auto"/>
              <w:ind w:firstLine="480"/>
              <w:rPr>
                <w:rFonts w:ascii="仿宋" w:eastAsia="仿宋" w:hAnsi="仿宋"/>
                <w:color w:val="000000"/>
                <w:sz w:val="24"/>
              </w:rPr>
            </w:pPr>
            <w:r>
              <w:rPr>
                <w:rFonts w:ascii="仿宋" w:eastAsia="仿宋" w:hAnsi="仿宋" w:hint="eastAsia"/>
                <w:color w:val="000000"/>
                <w:sz w:val="24"/>
              </w:rPr>
              <w:t>（三）工具变量法</w:t>
            </w:r>
          </w:p>
          <w:p w:rsidR="00976BA9" w:rsidRDefault="00E45018">
            <w:pPr>
              <w:spacing w:line="300" w:lineRule="auto"/>
              <w:ind w:firstLine="480"/>
              <w:rPr>
                <w:rFonts w:ascii="仿宋" w:eastAsia="仿宋" w:hAnsi="仿宋"/>
                <w:color w:val="000000"/>
                <w:sz w:val="24"/>
              </w:rPr>
            </w:pPr>
            <w:r>
              <w:rPr>
                <w:rFonts w:ascii="仿宋" w:eastAsia="仿宋" w:hAnsi="仿宋" w:hint="eastAsia"/>
                <w:color w:val="000000"/>
                <w:sz w:val="24"/>
              </w:rPr>
              <w:t>（四）两阶段最小二乘法</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六、自相关（序列相关）</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（一）自相关含义及表现形式</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（二）自相关产生原因及造成的后果</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（三）序列相关检验方法</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七、虚拟变量回归</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（一）虚拟变量含义及设置原则</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（二）虚拟变量陷阱</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八、时间序列计量经济学模型</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（一）时间序列的平稳性及其检验</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lastRenderedPageBreak/>
              <w:t>（二）协整与误差修正模型</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（三）格兰杰因果关系检验</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九、非经典截面数据计量经济学模型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（一）二元离散选择模型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 xml:space="preserve">        1.二元离散选择模型的建立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 xml:space="preserve">        2.二元Probit模型及其参数估计</w:t>
            </w:r>
          </w:p>
          <w:p w:rsidR="00976BA9" w:rsidRDefault="00E45018">
            <w:pPr>
              <w:spacing w:line="300" w:lineRule="auto"/>
              <w:ind w:firstLineChars="600" w:firstLine="1440"/>
              <w:rPr>
                <w:rFonts w:ascii="仿宋" w:eastAsia="仿宋" w:hAnsi="仿宋"/>
                <w:color w:val="000000"/>
                <w:sz w:val="24"/>
              </w:rPr>
            </w:pPr>
            <w:r>
              <w:rPr>
                <w:rFonts w:ascii="仿宋" w:eastAsia="仿宋" w:hAnsi="仿宋" w:hint="eastAsia"/>
                <w:color w:val="000000"/>
                <w:sz w:val="24"/>
              </w:rPr>
              <w:t>3.二元Logit模型及其参数估计</w:t>
            </w:r>
          </w:p>
          <w:p w:rsidR="00976BA9" w:rsidRDefault="00976BA9">
            <w:pPr>
              <w:snapToGrid w:val="0"/>
              <w:rPr>
                <w:rFonts w:ascii="仿宋" w:eastAsia="仿宋" w:hAnsi="仿宋" w:cs="仿宋"/>
                <w:b/>
                <w:sz w:val="24"/>
              </w:rPr>
            </w:pPr>
          </w:p>
          <w:p w:rsidR="00976BA9" w:rsidRDefault="00E45018">
            <w:pPr>
              <w:snapToGrid w:val="0"/>
              <w:rPr>
                <w:rFonts w:ascii="仿宋" w:eastAsia="仿宋" w:hAnsi="仿宋" w:cs="仿宋"/>
                <w:b/>
                <w:sz w:val="24"/>
              </w:rPr>
            </w:pPr>
            <w:r>
              <w:rPr>
                <w:rFonts w:ascii="仿宋" w:eastAsia="仿宋" w:hAnsi="仿宋" w:cs="仿宋" w:hint="eastAsia"/>
                <w:b/>
                <w:sz w:val="24"/>
              </w:rPr>
              <w:t>建议参考以下教材：</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《西方经济学》（微观、宏观部分）第七版，中国人民大学出版社，高鸿业；</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《计量经济学》（第四版），高等教育出版社，李子奈、潘文卿；</w:t>
            </w:r>
          </w:p>
          <w:p w:rsidR="00976BA9" w:rsidRDefault="00976BA9">
            <w:pPr>
              <w:widowControl/>
              <w:snapToGrid w:val="0"/>
              <w:jc w:val="left"/>
              <w:rPr>
                <w:kern w:val="0"/>
                <w:sz w:val="24"/>
              </w:rPr>
            </w:pPr>
          </w:p>
          <w:p w:rsidR="00976BA9" w:rsidRDefault="00E45018">
            <w:pPr>
              <w:widowControl/>
              <w:snapToGrid w:val="0"/>
              <w:jc w:val="left"/>
              <w:rPr>
                <w:rFonts w:eastAsia="仿宋"/>
                <w:kern w:val="0"/>
                <w:sz w:val="24"/>
              </w:rPr>
            </w:pPr>
            <w:r>
              <w:rPr>
                <w:rFonts w:ascii="仿宋" w:eastAsia="仿宋" w:hAnsi="仿宋" w:cs="仿宋" w:hint="eastAsia"/>
                <w:b/>
                <w:bCs/>
                <w:kern w:val="0"/>
                <w:sz w:val="24"/>
              </w:rPr>
              <w:t>※：本科目考试大纲可作为金融专业硕士和保险专业硕士考生复试专业课《金融专业基础(F1805)》的考试大纲，具体题型和分值将依据总分的变化进行调整。</w:t>
            </w:r>
          </w:p>
        </w:tc>
      </w:tr>
    </w:tbl>
    <w:p w:rsidR="00976BA9" w:rsidRDefault="00976BA9"/>
    <w:p w:rsidR="00976BA9" w:rsidRDefault="00976BA9"/>
    <w:sectPr w:rsidR="00976BA9" w:rsidSect="00433A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72A" w:rsidRDefault="008F272A" w:rsidP="002A4A8E">
      <w:r>
        <w:separator/>
      </w:r>
    </w:p>
  </w:endnote>
  <w:endnote w:type="continuationSeparator" w:id="1">
    <w:p w:rsidR="008F272A" w:rsidRDefault="008F272A" w:rsidP="002A4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72A" w:rsidRDefault="008F272A" w:rsidP="002A4A8E">
      <w:r>
        <w:separator/>
      </w:r>
    </w:p>
  </w:footnote>
  <w:footnote w:type="continuationSeparator" w:id="1">
    <w:p w:rsidR="008F272A" w:rsidRDefault="008F272A" w:rsidP="002A4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47C2E"/>
    <w:multiLevelType w:val="singleLevel"/>
    <w:tmpl w:val="59C47C2E"/>
    <w:lvl w:ilvl="0">
      <w:start w:val="3"/>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F1872FE"/>
    <w:rsid w:val="001778D7"/>
    <w:rsid w:val="00225F6E"/>
    <w:rsid w:val="002A4A8E"/>
    <w:rsid w:val="002B7C07"/>
    <w:rsid w:val="00370BA0"/>
    <w:rsid w:val="004252D5"/>
    <w:rsid w:val="00431B2A"/>
    <w:rsid w:val="00433A55"/>
    <w:rsid w:val="00447D7E"/>
    <w:rsid w:val="006036FF"/>
    <w:rsid w:val="00640D96"/>
    <w:rsid w:val="006C04E7"/>
    <w:rsid w:val="00862B49"/>
    <w:rsid w:val="008F272A"/>
    <w:rsid w:val="00930ECE"/>
    <w:rsid w:val="00976BA9"/>
    <w:rsid w:val="00B312C6"/>
    <w:rsid w:val="00B325F8"/>
    <w:rsid w:val="00CC0E27"/>
    <w:rsid w:val="00E45018"/>
    <w:rsid w:val="00EC49CA"/>
    <w:rsid w:val="00F1512A"/>
    <w:rsid w:val="00F168CD"/>
    <w:rsid w:val="00FF0F7C"/>
    <w:rsid w:val="010B6936"/>
    <w:rsid w:val="013C0DED"/>
    <w:rsid w:val="01F4781A"/>
    <w:rsid w:val="026B60B8"/>
    <w:rsid w:val="041C6903"/>
    <w:rsid w:val="06AD628A"/>
    <w:rsid w:val="0A8C0CF4"/>
    <w:rsid w:val="0B1A13F4"/>
    <w:rsid w:val="0B7C500F"/>
    <w:rsid w:val="0CB93BED"/>
    <w:rsid w:val="0FB95F72"/>
    <w:rsid w:val="0FC278F9"/>
    <w:rsid w:val="13217FD8"/>
    <w:rsid w:val="15E02852"/>
    <w:rsid w:val="163B0445"/>
    <w:rsid w:val="179955D0"/>
    <w:rsid w:val="17FB7BE8"/>
    <w:rsid w:val="18805260"/>
    <w:rsid w:val="1F2D6472"/>
    <w:rsid w:val="1F594412"/>
    <w:rsid w:val="20492140"/>
    <w:rsid w:val="20804579"/>
    <w:rsid w:val="21BE695D"/>
    <w:rsid w:val="23487ECD"/>
    <w:rsid w:val="26825836"/>
    <w:rsid w:val="26C227A3"/>
    <w:rsid w:val="27266CBA"/>
    <w:rsid w:val="27D64F4B"/>
    <w:rsid w:val="28B37933"/>
    <w:rsid w:val="2A7365FD"/>
    <w:rsid w:val="2AD569F7"/>
    <w:rsid w:val="2B357CC1"/>
    <w:rsid w:val="2C020335"/>
    <w:rsid w:val="2D2C56C9"/>
    <w:rsid w:val="2E30227C"/>
    <w:rsid w:val="2EDC1040"/>
    <w:rsid w:val="2F5D1D13"/>
    <w:rsid w:val="31073FBD"/>
    <w:rsid w:val="319C3004"/>
    <w:rsid w:val="34C74797"/>
    <w:rsid w:val="35A62251"/>
    <w:rsid w:val="38BF1519"/>
    <w:rsid w:val="39192EA3"/>
    <w:rsid w:val="396C75BE"/>
    <w:rsid w:val="3BAB6C65"/>
    <w:rsid w:val="3BB8583E"/>
    <w:rsid w:val="3C285E05"/>
    <w:rsid w:val="3D1416F1"/>
    <w:rsid w:val="3DF07B9D"/>
    <w:rsid w:val="3F02566F"/>
    <w:rsid w:val="4359075D"/>
    <w:rsid w:val="43AC4AB2"/>
    <w:rsid w:val="482B2383"/>
    <w:rsid w:val="495A49FF"/>
    <w:rsid w:val="49865235"/>
    <w:rsid w:val="4996319F"/>
    <w:rsid w:val="49F07FD6"/>
    <w:rsid w:val="4A5F0BC2"/>
    <w:rsid w:val="4C0C1B84"/>
    <w:rsid w:val="4D0D147B"/>
    <w:rsid w:val="537F30A4"/>
    <w:rsid w:val="54AA6D1B"/>
    <w:rsid w:val="556337A9"/>
    <w:rsid w:val="561C753E"/>
    <w:rsid w:val="56604B6C"/>
    <w:rsid w:val="5856189C"/>
    <w:rsid w:val="5B494EFD"/>
    <w:rsid w:val="5B783973"/>
    <w:rsid w:val="5C4F2088"/>
    <w:rsid w:val="5E7420AC"/>
    <w:rsid w:val="5E816BFF"/>
    <w:rsid w:val="607810C8"/>
    <w:rsid w:val="613673C3"/>
    <w:rsid w:val="64106E9A"/>
    <w:rsid w:val="65722DB8"/>
    <w:rsid w:val="66B4338B"/>
    <w:rsid w:val="674B5EC5"/>
    <w:rsid w:val="67AB7E8C"/>
    <w:rsid w:val="684161EF"/>
    <w:rsid w:val="69EF7EFC"/>
    <w:rsid w:val="6A6C36EC"/>
    <w:rsid w:val="6E9F17A8"/>
    <w:rsid w:val="6EAD4526"/>
    <w:rsid w:val="70474EE2"/>
    <w:rsid w:val="71EF704D"/>
    <w:rsid w:val="73AA51FC"/>
    <w:rsid w:val="74C9041A"/>
    <w:rsid w:val="756714EC"/>
    <w:rsid w:val="77837D03"/>
    <w:rsid w:val="7BD22FD4"/>
    <w:rsid w:val="7BE033BA"/>
    <w:rsid w:val="7CF15410"/>
    <w:rsid w:val="7CFB12D5"/>
    <w:rsid w:val="7F07760C"/>
    <w:rsid w:val="7F1872FE"/>
    <w:rsid w:val="7FE204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55"/>
    <w:pPr>
      <w:widowControl w:val="0"/>
      <w:jc w:val="both"/>
    </w:pPr>
    <w:rPr>
      <w:rFonts w:ascii="Calibri" w:hAnsi="Calibri"/>
      <w:kern w:val="2"/>
      <w:sz w:val="21"/>
      <w:szCs w:val="24"/>
    </w:rPr>
  </w:style>
  <w:style w:type="paragraph" w:styleId="1">
    <w:name w:val="heading 1"/>
    <w:basedOn w:val="a"/>
    <w:next w:val="a"/>
    <w:link w:val="1Char"/>
    <w:uiPriority w:val="99"/>
    <w:qFormat/>
    <w:locked/>
    <w:rsid w:val="00433A5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33A55"/>
    <w:pPr>
      <w:keepNext/>
      <w:keepLines/>
      <w:spacing w:beforeLines="20" w:afterLines="20"/>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33A55"/>
    <w:pPr>
      <w:tabs>
        <w:tab w:val="center" w:pos="4153"/>
        <w:tab w:val="right" w:pos="8306"/>
      </w:tabs>
      <w:snapToGrid w:val="0"/>
      <w:jc w:val="left"/>
    </w:pPr>
    <w:rPr>
      <w:sz w:val="18"/>
      <w:szCs w:val="18"/>
    </w:rPr>
  </w:style>
  <w:style w:type="paragraph" w:styleId="a4">
    <w:name w:val="header"/>
    <w:basedOn w:val="a"/>
    <w:link w:val="Char0"/>
    <w:uiPriority w:val="99"/>
    <w:qFormat/>
    <w:rsid w:val="00433A55"/>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433A55"/>
    <w:rPr>
      <w:rFonts w:ascii="Calibri" w:hAnsi="Calibri"/>
      <w:b/>
      <w:bCs/>
      <w:kern w:val="44"/>
      <w:sz w:val="44"/>
      <w:szCs w:val="44"/>
    </w:rPr>
  </w:style>
  <w:style w:type="character" w:customStyle="1" w:styleId="2Char">
    <w:name w:val="标题 2 Char"/>
    <w:basedOn w:val="a0"/>
    <w:link w:val="2"/>
    <w:uiPriority w:val="9"/>
    <w:semiHidden/>
    <w:qFormat/>
    <w:rsid w:val="00433A55"/>
    <w:rPr>
      <w:rFonts w:asciiTheme="majorHAnsi" w:eastAsiaTheme="majorEastAsia" w:hAnsiTheme="majorHAnsi" w:cstheme="majorBidi"/>
      <w:b/>
      <w:bCs/>
      <w:sz w:val="32"/>
      <w:szCs w:val="32"/>
    </w:rPr>
  </w:style>
  <w:style w:type="character" w:customStyle="1" w:styleId="Char0">
    <w:name w:val="页眉 Char"/>
    <w:basedOn w:val="a0"/>
    <w:link w:val="a4"/>
    <w:uiPriority w:val="99"/>
    <w:qFormat/>
    <w:locked/>
    <w:rsid w:val="00433A55"/>
    <w:rPr>
      <w:rFonts w:ascii="Calibri" w:eastAsia="宋体" w:hAnsi="Calibri" w:cs="Times New Roman"/>
      <w:kern w:val="2"/>
      <w:sz w:val="18"/>
      <w:szCs w:val="18"/>
    </w:rPr>
  </w:style>
  <w:style w:type="character" w:customStyle="1" w:styleId="Char">
    <w:name w:val="页脚 Char"/>
    <w:basedOn w:val="a0"/>
    <w:link w:val="a3"/>
    <w:uiPriority w:val="99"/>
    <w:qFormat/>
    <w:locked/>
    <w:rsid w:val="00433A55"/>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locke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Lines="20" w:afterLines="20"/>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ascii="Calibri" w:hAnsi="Calibri"/>
      <w:b/>
      <w:bCs/>
      <w:kern w:val="44"/>
      <w:sz w:val="44"/>
      <w:szCs w:val="4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locked/>
    <w:rPr>
      <w:rFonts w:ascii="Calibri" w:eastAsia="宋体" w:hAnsi="Calibri" w:cs="Times New Roman"/>
      <w:kern w:val="2"/>
      <w:sz w:val="18"/>
      <w:szCs w:val="18"/>
    </w:rPr>
  </w:style>
  <w:style w:type="character" w:customStyle="1" w:styleId="Char">
    <w:name w:val="页脚 Char"/>
    <w:basedOn w:val="a0"/>
    <w:link w:val="a3"/>
    <w:uiPriority w:val="99"/>
    <w:qFormat/>
    <w:locke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联想</cp:lastModifiedBy>
  <cp:revision>2</cp:revision>
  <dcterms:created xsi:type="dcterms:W3CDTF">2022-09-05T05:15:00Z</dcterms:created>
  <dcterms:modified xsi:type="dcterms:W3CDTF">2022-09-05T05:15:00Z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1B377FAFD91B46579D26BCDE1DABB115</vt:lpwstr>
  </property>
</Properties>
</file>